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0979B">
      <w:pPr>
        <w:framePr w:hSpace="180" w:vSpace="180" w:wrap="around" w:vAnchor="margin" w:hAnchor="text" w:y="1" w:anchorLock="1"/>
        <w:ind w:firstLine="420"/>
        <w:jc w:val="left"/>
        <w:textAlignment w:val="center"/>
        <w:rPr>
          <w:rFonts w:hint="eastAsia" w:ascii="黑体" w:hAnsi="黑体" w:eastAsia="黑体" w:cs="黑体"/>
          <w:kern w:val="0"/>
          <w:szCs w:val="21"/>
        </w:rPr>
      </w:pPr>
      <w:r>
        <w:rPr>
          <w:rFonts w:hint="eastAsia" w:ascii="黑体" w:hAnsi="黑体" w:eastAsia="黑体" w:cs="黑体"/>
          <w:kern w:val="0"/>
          <w:szCs w:val="21"/>
        </w:rPr>
        <w:t>ICS 71.100.70</w:t>
      </w:r>
    </w:p>
    <w:p w14:paraId="761501E0">
      <w:pPr>
        <w:framePr w:hSpace="180" w:vSpace="180" w:wrap="around" w:vAnchor="margin" w:hAnchor="text" w:y="1" w:anchorLock="1"/>
        <w:ind w:firstLine="420"/>
        <w:jc w:val="left"/>
        <w:textAlignment w:val="center"/>
        <w:rPr>
          <w:rFonts w:hint="eastAsia" w:ascii="黑体" w:hAnsi="黑体" w:eastAsia="黑体" w:cs="黑体"/>
          <w:kern w:val="0"/>
          <w:szCs w:val="21"/>
        </w:rPr>
      </w:pPr>
      <w:r>
        <w:rPr>
          <w:rFonts w:hint="eastAsia" w:ascii="黑体" w:hAnsi="黑体" w:eastAsia="黑体" w:cs="黑体"/>
          <w:kern w:val="0"/>
          <w:szCs w:val="21"/>
        </w:rPr>
        <w:t>Y42</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CF3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EF5F639">
            <w:pPr>
              <w:framePr w:hSpace="180" w:vSpace="180" w:wrap="around" w:vAnchor="margin" w:hAnchor="text" w:y="1" w:anchorLock="1"/>
              <w:ind w:firstLine="420"/>
              <w:jc w:val="left"/>
              <w:textAlignment w:val="center"/>
              <w:rPr>
                <w:rFonts w:ascii="Times New Roman" w:hAnsi="Times New Roman" w:eastAsia="黑体" w:cs="Times New Roman"/>
                <w:kern w:val="0"/>
                <w:szCs w:val="21"/>
              </w:rPr>
            </w:pPr>
            <w:r>
              <w:rPr>
                <w:rFonts w:ascii="Times New Roman" w:hAnsi="Times New Roman" w:eastAsia="黑体" w:cs="Times New Roman"/>
                <w:kern w:val="0"/>
                <w:szCs w:val="21"/>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1" name="矩形 1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uL+zVAAAABwEAAA8AAAAAAAAAAQAgAAAAIgAAAGRycy9kb3ducmV2LnhtbFBL&#10;AQIUABQAAAAIAIdO4kCe9mWzwAEAAHcDAAAOAAAAAAAAAAEAIAAAACQBAABkcnMvZTJvRG9jLnht&#10;bFBLBQYAAAAABgAGAFkBAABWBQAAAAA=&#10;">
                      <v:fill on="t" focussize="0,0"/>
                      <v:stroke on="f"/>
                      <v:imagedata o:title=""/>
                      <o:lock v:ext="edit" aspectratio="f"/>
                    </v:rect>
                  </w:pict>
                </mc:Fallback>
              </mc:AlternateContent>
            </w:r>
          </w:p>
        </w:tc>
      </w:tr>
    </w:tbl>
    <w:p w14:paraId="0A8D33CD">
      <w:pPr>
        <w:framePr w:hSpace="181" w:vSpace="181" w:wrap="around" w:vAnchor="page" w:hAnchor="page" w:x="1419" w:y="2286" w:anchorLock="1"/>
        <w:widowControl/>
        <w:spacing w:line="0" w:lineRule="atLeast"/>
        <w:ind w:firstLine="800"/>
        <w:jc w:val="distribute"/>
        <w:rPr>
          <w:rFonts w:ascii="Times New Roman" w:hAnsi="Times New Roman" w:eastAsia="黑体" w:cs="Times New Roman"/>
          <w:spacing w:val="-40"/>
          <w:kern w:val="0"/>
          <w:sz w:val="48"/>
          <w:szCs w:val="52"/>
        </w:rPr>
      </w:pPr>
      <w:r>
        <w:rPr>
          <w:rFonts w:ascii="Times New Roman" w:hAnsi="Times New Roman" w:eastAsia="黑体" w:cs="Times New Roman"/>
          <w:spacing w:val="-40"/>
          <w:kern w:val="0"/>
          <w:sz w:val="48"/>
          <w:szCs w:val="52"/>
        </w:rPr>
        <w:t>团体标准</w:t>
      </w:r>
    </w:p>
    <w:p w14:paraId="6608E310">
      <w:pPr>
        <w:framePr w:w="9140" w:h="1242" w:hRule="exact" w:hSpace="284" w:wrap="around" w:vAnchor="page" w:hAnchor="page" w:x="1645" w:y="2910" w:anchorLock="1"/>
        <w:widowControl/>
        <w:spacing w:before="357" w:line="280" w:lineRule="exact"/>
        <w:ind w:firstLine="560"/>
        <w:jc w:val="right"/>
        <w:rPr>
          <w:rFonts w:hint="eastAsia" w:ascii="黑体" w:hAnsi="黑体" w:eastAsia="黑体" w:cs="黑体"/>
          <w:kern w:val="0"/>
          <w:sz w:val="28"/>
          <w:szCs w:val="28"/>
        </w:rPr>
      </w:pPr>
      <w:r>
        <w:rPr>
          <w:rFonts w:hint="eastAsia" w:ascii="黑体" w:hAnsi="黑体" w:eastAsia="黑体" w:cs="黑体"/>
          <w:kern w:val="0"/>
          <w:sz w:val="28"/>
          <w:szCs w:val="28"/>
        </w:rPr>
        <w:t>T/CAFFCI XXXX—XXXX</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E360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DFBC15D">
            <w:pPr>
              <w:framePr w:w="9140" w:h="1242" w:hRule="exact" w:hSpace="284" w:wrap="around" w:vAnchor="page" w:hAnchor="page" w:x="1645" w:y="2910" w:anchorLock="1"/>
              <w:widowControl/>
              <w:spacing w:before="57" w:line="280" w:lineRule="exact"/>
              <w:ind w:firstLine="420"/>
              <w:jc w:val="right"/>
              <w:rPr>
                <w:rFonts w:ascii="Times New Roman" w:hAnsi="Times New Roman" w:eastAsia="宋体" w:cs="Times New Roman"/>
                <w:kern w:val="0"/>
                <w:szCs w:val="21"/>
              </w:rPr>
            </w:pPr>
          </w:p>
        </w:tc>
      </w:tr>
    </w:tbl>
    <w:p w14:paraId="393E676F">
      <w:pPr>
        <w:framePr w:w="9140" w:h="1242" w:hRule="exact" w:hSpace="284" w:wrap="around" w:vAnchor="page" w:hAnchor="page" w:x="1645" w:y="2910" w:anchorLock="1"/>
        <w:widowControl/>
        <w:spacing w:before="357" w:line="280" w:lineRule="exact"/>
        <w:ind w:firstLine="560"/>
        <w:jc w:val="right"/>
        <w:rPr>
          <w:rFonts w:ascii="Times New Roman" w:hAnsi="Times New Roman" w:eastAsia="黑体" w:cs="Times New Roman"/>
          <w:kern w:val="0"/>
          <w:sz w:val="28"/>
          <w:szCs w:val="28"/>
        </w:rPr>
      </w:pPr>
    </w:p>
    <w:p w14:paraId="2A12F1BB">
      <w:pPr>
        <w:framePr w:w="9140" w:h="1242" w:hRule="exact" w:hSpace="284" w:wrap="around" w:vAnchor="page" w:hAnchor="page" w:x="1645" w:y="2910" w:anchorLock="1"/>
        <w:widowControl/>
        <w:spacing w:before="357" w:line="280" w:lineRule="exact"/>
        <w:ind w:firstLine="560"/>
        <w:jc w:val="right"/>
        <w:rPr>
          <w:rFonts w:ascii="Times New Roman" w:hAnsi="Times New Roman" w:eastAsia="黑体" w:cs="Times New Roman"/>
          <w:kern w:val="0"/>
          <w:sz w:val="28"/>
          <w:szCs w:val="28"/>
        </w:rPr>
      </w:pPr>
    </w:p>
    <w:p w14:paraId="33D055B2">
      <w:pPr>
        <w:framePr w:w="9639" w:h="6917" w:hRule="exact" w:wrap="around" w:vAnchor="page" w:hAnchor="page" w:xAlign="center" w:y="6408" w:anchorLock="1"/>
        <w:spacing w:line="680" w:lineRule="exact"/>
        <w:ind w:firstLine="1040"/>
        <w:jc w:val="center"/>
        <w:textAlignment w:val="center"/>
        <w:rPr>
          <w:rFonts w:hint="eastAsia" w:ascii="黑体" w:hAnsi="黑体" w:eastAsia="黑体" w:cs="黑体"/>
          <w:kern w:val="0"/>
          <w:sz w:val="52"/>
          <w:szCs w:val="20"/>
        </w:rPr>
      </w:pPr>
      <w:r>
        <w:rPr>
          <w:rFonts w:hint="eastAsia" w:ascii="黑体" w:hAnsi="黑体" w:eastAsia="黑体" w:cs="黑体"/>
          <w:kern w:val="0"/>
          <w:sz w:val="52"/>
          <w:szCs w:val="20"/>
        </w:rPr>
        <w:t xml:space="preserve">化妆品用原料 </w:t>
      </w:r>
    </w:p>
    <w:p w14:paraId="5A74616F">
      <w:pPr>
        <w:framePr w:w="9639" w:h="6917" w:hRule="exact" w:wrap="around" w:vAnchor="page" w:hAnchor="page" w:xAlign="center" w:y="6408" w:anchorLock="1"/>
        <w:spacing w:before="370" w:line="400" w:lineRule="exact"/>
        <w:ind w:firstLine="1040"/>
        <w:jc w:val="center"/>
        <w:textAlignment w:val="center"/>
        <w:rPr>
          <w:rFonts w:hint="eastAsia" w:ascii="黑体" w:hAnsi="黑体" w:eastAsia="黑体" w:cs="黑体"/>
          <w:kern w:val="0"/>
          <w:sz w:val="52"/>
          <w:szCs w:val="20"/>
        </w:rPr>
      </w:pPr>
      <w:bookmarkStart w:id="0" w:name="YZBS"/>
      <w:r>
        <w:rPr>
          <w:rFonts w:hint="eastAsia" w:ascii="黑体" w:hAnsi="黑体" w:eastAsia="黑体" w:cs="黑体"/>
          <w:kern w:val="0"/>
          <w:sz w:val="52"/>
          <w:szCs w:val="20"/>
        </w:rPr>
        <w:t>龙胆（GENTIANA SCABRA）提取物</w:t>
      </w:r>
    </w:p>
    <w:p w14:paraId="3DCABC03">
      <w:pPr>
        <w:framePr w:w="9639" w:h="6917" w:hRule="exact" w:wrap="around" w:vAnchor="page" w:hAnchor="page" w:xAlign="center" w:y="6408" w:anchorLock="1"/>
        <w:spacing w:before="370" w:line="400" w:lineRule="exact"/>
        <w:ind w:firstLine="560"/>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 xml:space="preserve"> Cosmetic ingredients - </w:t>
      </w:r>
      <w:r>
        <w:rPr>
          <w:rFonts w:ascii="黑体" w:hAnsi="黑体" w:eastAsia="黑体" w:cs="黑体"/>
          <w:kern w:val="0"/>
          <w:sz w:val="28"/>
          <w:szCs w:val="28"/>
        </w:rPr>
        <w:t>G</w:t>
      </w:r>
      <w:r>
        <w:rPr>
          <w:rFonts w:hint="eastAsia" w:ascii="黑体" w:hAnsi="黑体" w:eastAsia="黑体" w:cs="黑体"/>
          <w:kern w:val="0"/>
          <w:sz w:val="28"/>
          <w:szCs w:val="28"/>
        </w:rPr>
        <w:t>entiana Scabra Extract</w:t>
      </w:r>
    </w:p>
    <w:bookmarkEnd w:id="0"/>
    <w:p w14:paraId="259B8D04">
      <w:pPr>
        <w:framePr w:w="9639" w:h="6917" w:hRule="exact" w:wrap="around" w:vAnchor="page" w:hAnchor="page" w:xAlign="center" w:y="6408" w:anchorLock="1"/>
        <w:spacing w:before="370" w:line="400" w:lineRule="exact"/>
        <w:ind w:firstLine="560"/>
        <w:jc w:val="center"/>
        <w:textAlignment w:val="center"/>
        <w:rPr>
          <w:rFonts w:ascii="Times New Roman" w:hAnsi="Times New Roman" w:eastAsia="黑体" w:cs="Times New Roman"/>
          <w:kern w:val="0"/>
          <w:sz w:val="28"/>
          <w:szCs w:val="28"/>
        </w:rPr>
      </w:pP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975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B7DA8B2">
            <w:pPr>
              <w:framePr w:w="9639" w:h="6917" w:hRule="exact" w:wrap="around" w:vAnchor="page" w:hAnchor="page" w:xAlign="center" w:y="6408" w:anchorLock="1"/>
              <w:spacing w:before="440" w:after="160"/>
              <w:ind w:firstLine="48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0" name="矩形 1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9f34NcAAAALAQAADwAAAAAAAAABACAAAAAiAAAAZHJzL2Rvd25yZXYueG1sUEsBAhQA&#10;FAAAAAgAh07iQLuOxVW6AQAAeAMAAA4AAAAAAAAAAQAgAAAAJgEAAGRycy9lMm9Eb2MueG1sUEsF&#10;BgAAAAAGAAYAWQEAAFIFAAAAAA==&#10;">
                      <v:fill on="t" focussize="0,0"/>
                      <v:stroke on="f"/>
                      <v:imagedata o:title=""/>
                      <o:lock v:ext="edit" aspectratio="f"/>
                      <w10:anchorlock/>
                    </v:rect>
                  </w:pict>
                </mc:Fallback>
              </mc:AlternateContent>
            </w:r>
            <w:r>
              <w:rPr>
                <w:rFonts w:ascii="Times New Roman" w:hAnsi="Times New Roman" w:eastAsia="宋体" w:cs="Times New Roman"/>
                <w:kern w:val="0"/>
                <w:sz w:val="24"/>
                <w:szCs w:val="28"/>
              </w:rPr>
              <w:t>（</w:t>
            </w:r>
            <w:r>
              <w:rPr>
                <w:rFonts w:hint="eastAsia" w:ascii="Times New Roman" w:hAnsi="Times New Roman" w:eastAsia="宋体" w:cs="Times New Roman"/>
                <w:kern w:val="0"/>
                <w:sz w:val="24"/>
                <w:szCs w:val="28"/>
              </w:rPr>
              <w:t>征求意见</w:t>
            </w:r>
            <w:r>
              <w:rPr>
                <w:rFonts w:ascii="Times New Roman" w:hAnsi="Times New Roman" w:eastAsia="宋体" w:cs="Times New Roman"/>
                <w:kern w:val="0"/>
                <w:sz w:val="24"/>
                <w:szCs w:val="28"/>
              </w:rPr>
              <w:t>稿）</w:t>
            </w:r>
          </w:p>
          <w:p w14:paraId="7EBD911F">
            <w:pPr>
              <w:framePr w:w="9639" w:h="6917" w:hRule="exact" w:wrap="around" w:vAnchor="page" w:hAnchor="page" w:xAlign="center" w:y="6408" w:anchorLock="1"/>
              <w:spacing w:before="440" w:after="160"/>
              <w:ind w:firstLine="48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在提交反馈意见时，请将您知道的相关专利连同支持性文件一并附上。</w:t>
            </w:r>
          </w:p>
        </w:tc>
      </w:tr>
      <w:tr w14:paraId="5AFA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5BE2768">
            <w:pPr>
              <w:framePr w:w="9639" w:h="6917" w:hRule="exact" w:wrap="around" w:vAnchor="page" w:hAnchor="page" w:xAlign="center" w:y="6408" w:anchorLock="1"/>
              <w:spacing w:before="180" w:after="160" w:line="180" w:lineRule="exact"/>
              <w:ind w:firstLine="420"/>
              <w:jc w:val="center"/>
              <w:textAlignment w:val="center"/>
              <w:rPr>
                <w:rFonts w:ascii="Times New Roman" w:hAnsi="Times New Roman" w:eastAsia="宋体" w:cs="Times New Roman"/>
                <w:kern w:val="0"/>
                <w:szCs w:val="28"/>
              </w:rPr>
            </w:pPr>
          </w:p>
        </w:tc>
      </w:tr>
    </w:tbl>
    <w:p w14:paraId="5C4F68D1">
      <w:pPr>
        <w:framePr w:w="3997" w:h="471" w:hRule="exact" w:vSpace="181" w:wrap="around" w:vAnchor="text" w:hAnchor="page" w:x="1382" w:y="13521" w:anchorLock="1"/>
        <w:widowControl/>
        <w:ind w:firstLine="560"/>
        <w:jc w:val="left"/>
        <w:rPr>
          <w:rFonts w:ascii="Times New Roman" w:hAnsi="Times New Roman" w:eastAsia="黑体" w:cs="Times New Roman"/>
          <w:kern w:val="0"/>
          <w:sz w:val="28"/>
          <w:szCs w:val="20"/>
        </w:rPr>
      </w:pPr>
      <w:bookmarkStart w:id="1" w:name="FY"/>
      <w:r>
        <w:rPr>
          <w:rFonts w:ascii="Times New Roman" w:hAnsi="Times New Roman" w:eastAsia="黑体" w:cs="Times New Roman"/>
          <w:kern w:val="0"/>
          <w:sz w:val="28"/>
          <w:szCs w:val="20"/>
        </w:rPr>
        <w:fldChar w:fldCharType="begin">
          <w:ffData>
            <w:name w:val="FY"/>
            <w:enabled w:val="0"/>
            <w:calcOnExit w:val="0"/>
            <w:textInput>
              <w:default w:val="2019"/>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2019</w:t>
      </w:r>
      <w:r>
        <w:rPr>
          <w:rFonts w:ascii="Times New Roman" w:hAnsi="Times New Roman" w:eastAsia="黑体" w:cs="Times New Roman"/>
          <w:kern w:val="0"/>
          <w:sz w:val="28"/>
          <w:szCs w:val="20"/>
        </w:rPr>
        <w:fldChar w:fldCharType="end"/>
      </w:r>
      <w:bookmarkEnd w:id="1"/>
      <w:r>
        <w:rPr>
          <w:rFonts w:ascii="Times New Roman" w:hAnsi="Times New Roman" w:eastAsia="黑体" w:cs="Times New Roman"/>
          <w:kern w:val="0"/>
          <w:sz w:val="28"/>
          <w:szCs w:val="20"/>
        </w:rPr>
        <w:t xml:space="preserve"> - </w:t>
      </w:r>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r>
        <w:rPr>
          <w:rFonts w:ascii="Times New Roman" w:hAnsi="Times New Roman" w:eastAsia="黑体" w:cs="Times New Roman"/>
          <w:kern w:val="0"/>
          <w:sz w:val="28"/>
          <w:szCs w:val="20"/>
        </w:rPr>
        <w:t xml:space="preserve"> - </w:t>
      </w:r>
      <w:bookmarkStart w:id="2"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2"/>
      <w:r>
        <w:rPr>
          <w:rFonts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9251315</wp:posOffset>
                </wp:positionV>
                <wp:extent cx="6120130" cy="0"/>
                <wp:effectExtent l="0" t="0" r="13970" b="1905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45pt;height:0pt;width:481.9pt;mso-position-vertical-relative:page;z-index:25166438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y0v89cAAAALAQAADwAAAAAAAAABACAAAAAiAAAAZHJzL2Rvd25yZXYueG1sUEsBAhQAFAAA&#10;AAgAh07iQC6qIr/wAQAA5gMAAA4AAAAAAAAAAQAgAAAAJgEAAGRycy9lMm9Eb2MueG1sUEsFBgAA&#10;AAAGAAYAWQEAAIgFAAAAAA==&#10;">
                <v:fill on="f" focussize="0,0"/>
                <v:stroke color="#000000" joinstyle="round"/>
                <v:imagedata o:title=""/>
                <o:lock v:ext="edit" aspectratio="f"/>
                <w10:anchorlock/>
              </v:line>
            </w:pict>
          </mc:Fallback>
        </mc:AlternateContent>
      </w:r>
    </w:p>
    <w:p w14:paraId="6D75145B">
      <w:pPr>
        <w:framePr w:w="3997" w:h="471" w:hRule="exact" w:vSpace="181" w:wrap="around" w:vAnchor="text" w:hAnchor="page" w:x="7089" w:y="13509" w:anchorLock="1"/>
        <w:widowControl/>
        <w:ind w:firstLine="560"/>
        <w:jc w:val="right"/>
        <w:rPr>
          <w:rFonts w:ascii="Times New Roman" w:hAnsi="Times New Roman" w:eastAsia="黑体" w:cs="Times New Roman"/>
          <w:kern w:val="0"/>
          <w:sz w:val="28"/>
          <w:szCs w:val="20"/>
        </w:rPr>
      </w:pPr>
      <w:bookmarkStart w:id="3"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3"/>
      <w:r>
        <w:rPr>
          <w:rFonts w:ascii="Times New Roman" w:hAnsi="Times New Roman" w:eastAsia="黑体" w:cs="Times New Roman"/>
          <w:kern w:val="0"/>
          <w:sz w:val="28"/>
          <w:szCs w:val="20"/>
        </w:rPr>
        <w:t xml:space="preserve"> - </w:t>
      </w:r>
      <w:bookmarkStart w:id="4"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4"/>
      <w:r>
        <w:rPr>
          <w:rFonts w:ascii="Times New Roman" w:hAnsi="Times New Roman" w:eastAsia="黑体" w:cs="Times New Roman"/>
          <w:kern w:val="0"/>
          <w:sz w:val="28"/>
          <w:szCs w:val="20"/>
        </w:rPr>
        <w:t xml:space="preserve"> - </w:t>
      </w:r>
      <w:bookmarkStart w:id="5"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5"/>
      <w:r>
        <w:rPr>
          <w:rFonts w:ascii="Times New Roman" w:hAnsi="Times New Roman" w:eastAsia="黑体" w:cs="Times New Roman"/>
          <w:kern w:val="0"/>
          <w:sz w:val="28"/>
          <w:szCs w:val="20"/>
        </w:rPr>
        <w:t>实施</w:t>
      </w:r>
    </w:p>
    <w:p w14:paraId="3F9ADF9E">
      <w:pPr>
        <w:framePr w:w="7938" w:h="1134" w:hRule="exact" w:hSpace="125" w:vSpace="181" w:wrap="around" w:vAnchor="page" w:hAnchor="page" w:x="2150" w:y="15310" w:anchorLock="1"/>
        <w:widowControl/>
        <w:spacing w:line="0" w:lineRule="atLeast"/>
        <w:ind w:firstLine="560"/>
        <w:jc w:val="center"/>
        <w:rPr>
          <w:rFonts w:hint="eastAsia" w:ascii="黑体" w:hAnsi="黑体" w:eastAsia="黑体" w:cs="黑体"/>
          <w:spacing w:val="20"/>
          <w:w w:val="135"/>
          <w:kern w:val="0"/>
          <w:sz w:val="28"/>
          <w:szCs w:val="20"/>
        </w:rPr>
      </w:pPr>
      <w:bookmarkStart w:id="6" w:name="fm"/>
      <w:r>
        <w:rPr>
          <w:rFonts w:hint="eastAsia" w:ascii="黑体" w:hAnsi="黑体" w:eastAsia="黑体" w:cs="黑体"/>
          <w:spacing w:val="20"/>
          <w:kern w:val="0"/>
          <w:sz w:val="28"/>
          <w:szCs w:val="2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Xu1tkAAAANAQAADwAAAAAAAAABACAAAAAiAAAAZHJzL2Rvd25yZXYueG1sUEsB&#10;AhQAFAAAAAgAh07iQF6ebgW7AQAAdgMAAA4AAAAAAAAAAQAgAAAAKAEAAGRycy9lMm9Eb2MueG1s&#10;UEsFBgAAAAAGAAYAWQEAAFUFA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yYoR2gAAAA8BAAAPAAAAAAAAAAEAIAAAACIAAABkcnMvZG93bnJldi54bWxQ&#10;SwECFAAUAAAACACHTuJAvnSIirwBAAB2AwAADgAAAAAAAAABACAAAAApAQAAZHJzL2Uyb0RvYy54&#10;bWxQSwUGAAAAAAYABgBZAQAAVwU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13970" b="1905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lkaDYAAAADwEAAA8AAAAAAAAAAQAgAAAAIgAAAGRycy9kb3ducmV2LnhtbFBLAQIUABQA&#10;AAAIAIdO4kCKXJs28AEAAOYDAAAOAAAAAAAAAAEAIAAAACcBAABkcnMvZTJvRG9jLnhtbFBLBQYA&#10;AAAABgAGAFkBAACJBQAAAAA=&#10;">
                <v:fill on="f" focussize="0,0"/>
                <v:stroke color="#000000" joinstyle="round"/>
                <v:imagedata o:title=""/>
                <o:lock v:ext="edit" aspectratio="f"/>
              </v:line>
            </w:pict>
          </mc:Fallback>
        </mc:AlternateContent>
      </w:r>
      <w:bookmarkEnd w:id="6"/>
      <w:r>
        <w:rPr>
          <w:rFonts w:hint="eastAsia" w:ascii="黑体" w:hAnsi="黑体" w:eastAsia="黑体" w:cs="黑体"/>
          <w:spacing w:val="20"/>
          <w:w w:val="135"/>
          <w:kern w:val="0"/>
          <w:sz w:val="28"/>
          <w:szCs w:val="28"/>
        </w:rPr>
        <w:fldChar w:fldCharType="begin">
          <w:ffData>
            <w:name w:val="Text1"/>
            <w:enabled w:val="0"/>
            <w:calcOnExit w:val="0"/>
            <w:textInput>
              <w:default w:val="中国香料香精化妆品工业协会"/>
            </w:textInput>
          </w:ffData>
        </w:fldChar>
      </w:r>
      <w:r>
        <w:rPr>
          <w:rFonts w:hint="eastAsia" w:ascii="黑体" w:hAnsi="黑体" w:eastAsia="黑体" w:cs="黑体"/>
          <w:spacing w:val="20"/>
          <w:w w:val="135"/>
          <w:kern w:val="0"/>
          <w:sz w:val="28"/>
          <w:szCs w:val="28"/>
        </w:rPr>
        <w:instrText xml:space="preserve">FORMTEXT</w:instrText>
      </w:r>
      <w:r>
        <w:rPr>
          <w:rFonts w:hint="eastAsia" w:ascii="黑体" w:hAnsi="黑体" w:eastAsia="黑体" w:cs="黑体"/>
          <w:spacing w:val="20"/>
          <w:w w:val="135"/>
          <w:kern w:val="0"/>
          <w:sz w:val="28"/>
          <w:szCs w:val="28"/>
        </w:rPr>
        <w:fldChar w:fldCharType="separate"/>
      </w:r>
      <w:r>
        <w:rPr>
          <w:rFonts w:hint="eastAsia" w:ascii="黑体" w:hAnsi="黑体" w:eastAsia="黑体" w:cs="黑体"/>
          <w:spacing w:val="20"/>
          <w:w w:val="135"/>
          <w:kern w:val="0"/>
          <w:sz w:val="28"/>
          <w:szCs w:val="28"/>
        </w:rPr>
        <w:t>中国香料香精化妆品工业协会</w:t>
      </w:r>
      <w:r>
        <w:rPr>
          <w:rFonts w:hint="eastAsia" w:ascii="黑体" w:hAnsi="黑体" w:eastAsia="黑体" w:cs="黑体"/>
          <w:spacing w:val="20"/>
          <w:w w:val="135"/>
          <w:kern w:val="0"/>
          <w:sz w:val="28"/>
          <w:szCs w:val="28"/>
        </w:rPr>
        <w:fldChar w:fldCharType="end"/>
      </w:r>
      <w:r>
        <w:rPr>
          <w:rFonts w:hint="eastAsia" w:ascii="黑体" w:hAnsi="黑体" w:eastAsia="黑体" w:cs="黑体"/>
          <w:spacing w:val="20"/>
          <w:w w:val="135"/>
          <w:kern w:val="0"/>
          <w:sz w:val="28"/>
          <w:szCs w:val="20"/>
        </w:rPr>
        <w:t>   </w:t>
      </w:r>
      <w:r>
        <w:rPr>
          <w:rFonts w:hint="eastAsia" w:ascii="黑体" w:hAnsi="黑体" w:eastAsia="黑体" w:cs="黑体"/>
          <w:spacing w:val="85"/>
          <w:kern w:val="0"/>
          <w:position w:val="3"/>
          <w:sz w:val="28"/>
          <w:szCs w:val="28"/>
        </w:rPr>
        <w:t>发布</w:t>
      </w:r>
    </w:p>
    <w:p w14:paraId="09D7601B">
      <w:pPr>
        <w:widowControl/>
        <w:tabs>
          <w:tab w:val="center" w:pos="4201"/>
          <w:tab w:val="right" w:leader="dot" w:pos="9298"/>
        </w:tabs>
        <w:autoSpaceDE w:val="0"/>
        <w:autoSpaceDN w:val="0"/>
        <w:ind w:firstLine="420"/>
        <w:rPr>
          <w:rFonts w:ascii="Times New Roman" w:hAnsi="Times New Roman" w:eastAsia="宋体" w:cs="Times New Roman"/>
          <w:kern w:val="0"/>
          <w:szCs w:val="20"/>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8" w:header="0" w:footer="0" w:gutter="0"/>
          <w:pgNumType w:start="1"/>
          <w:cols w:space="720" w:num="1"/>
          <w:docGrid w:type="lines" w:linePitch="312" w:charSpace="0"/>
        </w:sectPr>
      </w:pPr>
    </w:p>
    <w:p w14:paraId="50068129">
      <w:pPr>
        <w:keepNext/>
        <w:pageBreakBefore/>
        <w:widowControl/>
        <w:shd w:val="clear" w:color="FFFFFF" w:fill="FFFFFF"/>
        <w:spacing w:before="640" w:after="560"/>
        <w:ind w:firstLine="640"/>
        <w:jc w:val="center"/>
        <w:outlineLvl w:val="0"/>
        <w:rPr>
          <w:rFonts w:ascii="Times New Roman" w:hAnsi="Times New Roman" w:eastAsia="黑体" w:cs="Times New Roman"/>
          <w:kern w:val="0"/>
          <w:sz w:val="32"/>
          <w:szCs w:val="20"/>
        </w:rPr>
      </w:pPr>
      <w:bookmarkStart w:id="7" w:name="_Toc504909184"/>
      <w:bookmarkStart w:id="8" w:name="_Toc504909119"/>
      <w:bookmarkStart w:id="9" w:name="_Toc504908957"/>
      <w:r>
        <w:rPr>
          <w:rFonts w:ascii="Times New Roman" w:hAnsi="Times New Roman" w:eastAsia="黑体" w:cs="Times New Roman"/>
          <w:kern w:val="0"/>
          <w:sz w:val="32"/>
          <w:szCs w:val="20"/>
        </w:rPr>
        <w:t>前  言</w:t>
      </w:r>
    </w:p>
    <w:p w14:paraId="2495E241">
      <w:pPr>
        <w:widowControl/>
        <w:tabs>
          <w:tab w:val="center" w:pos="4201"/>
          <w:tab w:val="right" w:leader="dot" w:pos="9298"/>
        </w:tabs>
        <w:autoSpaceDE w:val="0"/>
        <w:autoSpaceDN w:val="0"/>
        <w:spacing w:line="360" w:lineRule="auto"/>
        <w:ind w:firstLine="420"/>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本文件根据GB/T 1.1—2020《标准化工作导则  第1部分：标准化文件的结构和起草规则》的规定起草。</w:t>
      </w:r>
    </w:p>
    <w:p w14:paraId="2515A1B8">
      <w:pPr>
        <w:pStyle w:val="20"/>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cstheme="minorEastAsia"/>
          <w:color w:val="000000"/>
          <w:szCs w:val="21"/>
        </w:rPr>
        <w:t>本文件由中国香料香精化妆品工业协会提出及归口。</w:t>
      </w:r>
    </w:p>
    <w:p w14:paraId="49E9DBF8">
      <w:pPr>
        <w:pStyle w:val="20"/>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本文件起草单位：</w:t>
      </w:r>
      <w:bookmarkStart w:id="13" w:name="_GoBack"/>
      <w:bookmarkEnd w:id="13"/>
      <w:bookmarkStart w:id="10" w:name="_Hlk144807612"/>
      <w:r>
        <w:rPr>
          <w:rFonts w:asciiTheme="minorEastAsia" w:hAnsiTheme="minorEastAsia" w:eastAsiaTheme="minorEastAsia" w:cstheme="minorEastAsia"/>
        </w:rPr>
        <w:t>上海相宜本草化妆品股份有限公司</w:t>
      </w:r>
      <w:r>
        <w:rPr>
          <w:rFonts w:hint="eastAsia" w:asciiTheme="minorEastAsia" w:hAnsiTheme="minorEastAsia" w:eastAsiaTheme="minorEastAsia" w:cstheme="minorEastAsia"/>
        </w:rPr>
        <w:t>、</w:t>
      </w:r>
      <w:r>
        <w:rPr>
          <w:rFonts w:asciiTheme="minorEastAsia" w:hAnsiTheme="minorEastAsia" w:eastAsiaTheme="minorEastAsia" w:cstheme="minorEastAsia"/>
        </w:rPr>
        <w:t>上海伽誉生物科技有限公司</w:t>
      </w:r>
      <w:r>
        <w:rPr>
          <w:rFonts w:hint="eastAsia" w:asciiTheme="minorEastAsia" w:hAnsiTheme="minorEastAsia" w:eastAsiaTheme="minorEastAsia" w:cstheme="minorEastAsia"/>
        </w:rPr>
        <w:t>、</w:t>
      </w:r>
      <w:r>
        <w:rPr>
          <w:rFonts w:asciiTheme="minorEastAsia" w:hAnsiTheme="minorEastAsia" w:eastAsiaTheme="minorEastAsia" w:cstheme="minorEastAsia"/>
        </w:rPr>
        <w:t>云南英格生物技术有限公司</w:t>
      </w:r>
      <w:r>
        <w:rPr>
          <w:rFonts w:hint="eastAsia" w:asciiTheme="minorEastAsia" w:hAnsiTheme="minorEastAsia" w:eastAsiaTheme="minorEastAsia" w:cstheme="minorEastAsia"/>
        </w:rPr>
        <w:t>、上海植纳生物科技有限公司</w:t>
      </w:r>
      <w:bookmarkEnd w:id="10"/>
      <w:r>
        <w:rPr>
          <w:rFonts w:hint="eastAsia" w:asciiTheme="minorEastAsia" w:hAnsiTheme="minorEastAsia" w:eastAsiaTheme="minorEastAsia" w:cstheme="minorEastAsia"/>
        </w:rPr>
        <w:t>、天津尚美化妆品有限公司、天津海关工业产品安全技术中心。</w:t>
      </w:r>
    </w:p>
    <w:p w14:paraId="003E884A">
      <w:pPr>
        <w:pStyle w:val="20"/>
        <w:spacing w:line="360" w:lineRule="auto"/>
        <w:ind w:left="420" w:leftChars="200" w:firstLine="0" w:firstLineChars="0"/>
        <w:rPr>
          <w:rFonts w:ascii="Times New Roman" w:hAnsi="Times New Roman"/>
        </w:rPr>
      </w:pPr>
      <w:r>
        <w:rPr>
          <w:rFonts w:hint="eastAsia" w:asciiTheme="minorEastAsia" w:hAnsiTheme="minorEastAsia" w:eastAsiaTheme="minorEastAsia" w:cstheme="minorEastAsia"/>
        </w:rPr>
        <w:t>本文件主要起草人：</w:t>
      </w:r>
      <w:r>
        <w:rPr>
          <w:rFonts w:hint="eastAsia" w:ascii="Times New Roman" w:hAnsi="Times New Roman"/>
        </w:rPr>
        <w:t>吕智、顾洁、程康、吴莹、刘睿敏、</w:t>
      </w:r>
      <w:bookmarkStart w:id="11" w:name="_Hlk144807397"/>
      <w:r>
        <w:rPr>
          <w:rFonts w:ascii="Times New Roman" w:hAnsi="Times New Roman"/>
        </w:rPr>
        <w:t>项光刚</w:t>
      </w:r>
      <w:r>
        <w:rPr>
          <w:rFonts w:hint="eastAsia" w:ascii="Times New Roman" w:hAnsi="Times New Roman"/>
        </w:rPr>
        <w:t>、</w:t>
      </w:r>
      <w:r>
        <w:rPr>
          <w:rFonts w:ascii="Times New Roman" w:hAnsi="Times New Roman"/>
        </w:rPr>
        <w:t>黄灿</w:t>
      </w:r>
      <w:r>
        <w:rPr>
          <w:rFonts w:hint="eastAsia" w:ascii="Times New Roman" w:hAnsi="Times New Roman"/>
        </w:rPr>
        <w:t>、</w:t>
      </w:r>
      <w:r>
        <w:rPr>
          <w:rFonts w:ascii="Times New Roman" w:hAnsi="Times New Roman"/>
        </w:rPr>
        <w:t>李从严</w:t>
      </w:r>
      <w:r>
        <w:rPr>
          <w:rFonts w:hint="eastAsia" w:ascii="Times New Roman" w:hAnsi="Times New Roman"/>
        </w:rPr>
        <w:t>、翟春涛</w:t>
      </w:r>
      <w:bookmarkEnd w:id="11"/>
      <w:r>
        <w:rPr>
          <w:rFonts w:hint="eastAsia" w:ascii="Times New Roman" w:hAnsi="Times New Roman"/>
        </w:rPr>
        <w:t>、王鹏、张晗、左玥华、王晨光。</w:t>
      </w:r>
    </w:p>
    <w:p w14:paraId="79FF2EE9">
      <w:pPr>
        <w:widowControl/>
        <w:tabs>
          <w:tab w:val="center" w:pos="4201"/>
          <w:tab w:val="right" w:leader="dot" w:pos="9298"/>
        </w:tabs>
        <w:autoSpaceDE w:val="0"/>
        <w:autoSpaceDN w:val="0"/>
        <w:spacing w:line="360" w:lineRule="auto"/>
        <w:ind w:firstLine="420"/>
        <w:rPr>
          <w:rFonts w:ascii="Times New Roman" w:hAnsi="Times New Roman" w:eastAsia="宋体" w:cs="Times New Roman"/>
          <w:kern w:val="0"/>
          <w:szCs w:val="20"/>
        </w:rPr>
      </w:pPr>
      <w:r>
        <w:rPr>
          <w:rFonts w:ascii="Times New Roman" w:hAnsi="Times New Roman" w:eastAsia="宋体" w:cs="Times New Roman"/>
          <w:kern w:val="0"/>
          <w:szCs w:val="20"/>
        </w:rPr>
        <w:t xml:space="preserve"> “请注意本文件的某些内容可能涉及专利。本文件的发布机构不承担识别这些专利的责任。”</w:t>
      </w:r>
    </w:p>
    <w:p w14:paraId="2E487F4A">
      <w:pPr>
        <w:keepNext/>
        <w:pageBreakBefore/>
        <w:widowControl/>
        <w:shd w:val="clear" w:color="FFFFFF" w:fill="FFFFFF"/>
        <w:spacing w:before="640" w:after="560" w:line="460" w:lineRule="exact"/>
        <w:ind w:firstLine="640"/>
        <w:jc w:val="center"/>
        <w:outlineLvl w:val="0"/>
        <w:rPr>
          <w:rFonts w:ascii="Times New Roman" w:hAnsi="Times New Roman" w:eastAsia="黑体" w:cs="Times New Roman"/>
          <w:kern w:val="0"/>
          <w:sz w:val="32"/>
          <w:szCs w:val="20"/>
        </w:rPr>
        <w:sectPr>
          <w:headerReference r:id="rId11" w:type="default"/>
          <w:footerReference r:id="rId12" w:type="default"/>
          <w:pgSz w:w="11906" w:h="16838"/>
          <w:pgMar w:top="567" w:right="1134" w:bottom="1134" w:left="1470" w:header="1418" w:footer="1134" w:gutter="0"/>
          <w:pgNumType w:start="1"/>
          <w:cols w:space="720" w:num="1"/>
          <w:formProt w:val="0"/>
          <w:docGrid w:type="lines" w:linePitch="312" w:charSpace="0"/>
        </w:sectPr>
      </w:pPr>
    </w:p>
    <w:bookmarkEnd w:id="7"/>
    <w:bookmarkEnd w:id="8"/>
    <w:bookmarkEnd w:id="9"/>
    <w:p w14:paraId="082EA17A">
      <w:pPr>
        <w:keepNext/>
        <w:pageBreakBefore/>
        <w:widowControl/>
        <w:shd w:val="clear" w:color="FFFFFF" w:fill="FFFFFF"/>
        <w:spacing w:before="640" w:after="560" w:line="460" w:lineRule="exact"/>
        <w:ind w:firstLine="640"/>
        <w:jc w:val="center"/>
        <w:outlineLvl w:val="0"/>
        <w:rPr>
          <w:rFonts w:ascii="Times New Roman" w:hAnsi="Times New Roman" w:eastAsia="黑体" w:cs="Times New Roman"/>
          <w:kern w:val="0"/>
          <w:sz w:val="32"/>
          <w:szCs w:val="20"/>
        </w:rPr>
      </w:pPr>
      <w:r>
        <w:rPr>
          <w:rFonts w:ascii="Times New Roman" w:hAnsi="Times New Roman" w:eastAsia="黑体" w:cs="Times New Roman"/>
          <w:kern w:val="0"/>
          <w:sz w:val="32"/>
          <w:szCs w:val="20"/>
        </w:rPr>
        <w:t>化妆品用原料</w:t>
      </w:r>
    </w:p>
    <w:p w14:paraId="7FF56D54">
      <w:pPr>
        <w:widowControl/>
        <w:tabs>
          <w:tab w:val="center" w:pos="4201"/>
          <w:tab w:val="right" w:leader="dot" w:pos="9298"/>
        </w:tabs>
        <w:autoSpaceDE w:val="0"/>
        <w:autoSpaceDN w:val="0"/>
        <w:ind w:firstLine="64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龙胆（GENTIANA SCABRA）提取物</w:t>
      </w:r>
    </w:p>
    <w:p w14:paraId="05702F92">
      <w:pPr>
        <w:pStyle w:val="21"/>
        <w:spacing w:before="312" w:after="312"/>
        <w:rPr>
          <w:rFonts w:hint="eastAsia" w:hAnsi="黑体" w:cs="黑体"/>
          <w:kern w:val="2"/>
          <w:szCs w:val="21"/>
        </w:rPr>
      </w:pPr>
      <w:r>
        <w:rPr>
          <w:rFonts w:hAnsi="黑体" w:cs="黑体"/>
          <w:kern w:val="2"/>
          <w:szCs w:val="21"/>
        </w:rPr>
        <w:t xml:space="preserve">1 </w:t>
      </w:r>
      <w:r>
        <w:rPr>
          <w:rFonts w:hint="eastAsia" w:hAnsi="黑体" w:cs="黑体"/>
          <w:kern w:val="2"/>
          <w:szCs w:val="21"/>
        </w:rPr>
        <w:t>范围</w:t>
      </w:r>
    </w:p>
    <w:p w14:paraId="3BDDB7DA">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本文件规定了龙胆提取物的感官、理化指标及微生物指标等要求，描述了相应的试验方法，规定了检验规则、标志、包装、运输、贮存及保质期的内容。</w:t>
      </w:r>
    </w:p>
    <w:p w14:paraId="43E2E86F">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本文件适用于以有机醇或水或二者按适当比例制成的混合液体为溶剂，从龙胆科植物条叶龙胆（</w:t>
      </w:r>
      <w:r>
        <w:rPr>
          <w:rFonts w:hint="eastAsia" w:asciiTheme="minorEastAsia" w:hAnsiTheme="minorEastAsia" w:eastAsiaTheme="minorEastAsia" w:cstheme="minorEastAsia"/>
          <w:i/>
          <w:szCs w:val="22"/>
        </w:rPr>
        <w:t>Gentiana manshurica</w:t>
      </w:r>
      <w:r>
        <w:rPr>
          <w:rFonts w:hint="eastAsia" w:asciiTheme="minorEastAsia" w:hAnsiTheme="minorEastAsia" w:eastAsiaTheme="minorEastAsia" w:cstheme="minorEastAsia"/>
          <w:szCs w:val="22"/>
        </w:rPr>
        <w:t>）、龙胆（</w:t>
      </w:r>
      <w:r>
        <w:rPr>
          <w:rFonts w:hint="eastAsia" w:asciiTheme="minorEastAsia" w:hAnsiTheme="minorEastAsia" w:eastAsiaTheme="minorEastAsia" w:cstheme="minorEastAsia"/>
          <w:i/>
          <w:szCs w:val="22"/>
        </w:rPr>
        <w:t>Gentiana scabra</w:t>
      </w:r>
      <w:r>
        <w:rPr>
          <w:rFonts w:hint="eastAsia" w:asciiTheme="minorEastAsia" w:hAnsiTheme="minorEastAsia" w:eastAsiaTheme="minorEastAsia" w:cstheme="minorEastAsia"/>
          <w:szCs w:val="22"/>
        </w:rPr>
        <w:t>）、三花龙胆（</w:t>
      </w:r>
      <w:r>
        <w:rPr>
          <w:rFonts w:hint="eastAsia" w:asciiTheme="minorEastAsia" w:hAnsiTheme="minorEastAsia" w:eastAsiaTheme="minorEastAsia" w:cstheme="minorEastAsia"/>
          <w:i/>
          <w:szCs w:val="22"/>
        </w:rPr>
        <w:t>Gentiana triflora</w:t>
      </w:r>
      <w:r>
        <w:rPr>
          <w:rFonts w:hint="eastAsia" w:asciiTheme="minorEastAsia" w:hAnsiTheme="minorEastAsia" w:eastAsiaTheme="minorEastAsia" w:cstheme="minorEastAsia"/>
          <w:szCs w:val="22"/>
        </w:rPr>
        <w:t>）或滇龙胆（</w:t>
      </w:r>
      <w:r>
        <w:rPr>
          <w:rFonts w:hint="eastAsia" w:asciiTheme="minorEastAsia" w:hAnsiTheme="minorEastAsia" w:eastAsiaTheme="minorEastAsia" w:cstheme="minorEastAsia"/>
          <w:i/>
          <w:szCs w:val="22"/>
        </w:rPr>
        <w:t>G</w:t>
      </w:r>
      <w:r>
        <w:rPr>
          <w:rFonts w:asciiTheme="minorEastAsia" w:hAnsiTheme="minorEastAsia" w:eastAsiaTheme="minorEastAsia" w:cstheme="minorEastAsia"/>
          <w:i/>
          <w:szCs w:val="22"/>
        </w:rPr>
        <w:t>entiana</w:t>
      </w:r>
      <w:r>
        <w:rPr>
          <w:rFonts w:hint="eastAsia" w:asciiTheme="minorEastAsia" w:hAnsiTheme="minorEastAsia" w:eastAsiaTheme="minorEastAsia" w:cstheme="minorEastAsia"/>
          <w:i/>
          <w:szCs w:val="22"/>
        </w:rPr>
        <w:t xml:space="preserve"> rigescens</w:t>
      </w:r>
      <w:r>
        <w:rPr>
          <w:rFonts w:hint="eastAsia" w:asciiTheme="minorEastAsia" w:hAnsiTheme="minorEastAsia" w:eastAsiaTheme="minorEastAsia" w:cstheme="minorEastAsia"/>
          <w:szCs w:val="22"/>
        </w:rPr>
        <w:t>）的干燥根和根茎进行提取的产物，经加工制成的用于化妆品原料的龙胆液体提取物。其主要活性成分为龙胆苦苷。</w:t>
      </w:r>
    </w:p>
    <w:p w14:paraId="72FBB3AD">
      <w:pPr>
        <w:pStyle w:val="21"/>
        <w:spacing w:before="312" w:after="312"/>
        <w:rPr>
          <w:rFonts w:hint="eastAsia" w:hAnsi="黑体" w:cs="黑体"/>
          <w:kern w:val="2"/>
          <w:szCs w:val="21"/>
        </w:rPr>
      </w:pPr>
      <w:r>
        <w:rPr>
          <w:rFonts w:hAnsi="黑体" w:cs="黑体"/>
          <w:kern w:val="2"/>
          <w:szCs w:val="21"/>
        </w:rPr>
        <w:t xml:space="preserve">2 </w:t>
      </w:r>
      <w:r>
        <w:rPr>
          <w:rFonts w:hint="eastAsia" w:hAnsi="黑体" w:cs="黑体"/>
          <w:kern w:val="2"/>
          <w:szCs w:val="21"/>
        </w:rPr>
        <w:t>规范性引用文件</w:t>
      </w:r>
    </w:p>
    <w:p w14:paraId="3D28ED62">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下列文件对于本文件的应用是必不可少的。凡是注日期的引用文件，仅注日期的版本适用于本文件。凡是不注日期的引用文件，其最新版本（包括所有修改单）适用于本文件。</w:t>
      </w:r>
    </w:p>
    <w:p w14:paraId="6627940D">
      <w:pPr>
        <w:ind w:firstLine="420"/>
        <w:rPr>
          <w:lang w:val="sv-SE"/>
        </w:rPr>
      </w:pPr>
      <w:r>
        <w:rPr>
          <w:lang w:val="sv-SE"/>
        </w:rPr>
        <w:t xml:space="preserve">GB/T 191 </w:t>
      </w:r>
      <w:r>
        <w:rPr>
          <w:rFonts w:hint="eastAsia"/>
          <w:lang w:val="sv-SE"/>
        </w:rPr>
        <w:t>包装储运图示标志</w:t>
      </w:r>
    </w:p>
    <w:p w14:paraId="1767B38E">
      <w:pPr>
        <w:ind w:firstLine="420"/>
        <w:rPr>
          <w:lang w:val="sv-SE"/>
        </w:rPr>
      </w:pPr>
      <w:r>
        <w:rPr>
          <w:lang w:val="sv-SE"/>
        </w:rPr>
        <w:t xml:space="preserve">GB/T 6678 </w:t>
      </w:r>
      <w:r>
        <w:rPr>
          <w:rFonts w:hint="eastAsia"/>
          <w:lang w:val="sv-SE"/>
        </w:rPr>
        <w:t>化工产品采样总则</w:t>
      </w:r>
    </w:p>
    <w:p w14:paraId="00601998">
      <w:pPr>
        <w:ind w:firstLine="420"/>
        <w:rPr>
          <w:lang w:val="sv-SE"/>
        </w:rPr>
      </w:pPr>
      <w:r>
        <w:rPr>
          <w:lang w:val="sv-SE"/>
        </w:rPr>
        <w:t xml:space="preserve">GB/T 6680 </w:t>
      </w:r>
      <w:r>
        <w:rPr>
          <w:rFonts w:hint="eastAsia"/>
          <w:lang w:val="sv-SE"/>
        </w:rPr>
        <w:t>液体化工产品采样通则</w:t>
      </w:r>
    </w:p>
    <w:p w14:paraId="01C288E1">
      <w:pPr>
        <w:ind w:firstLine="420"/>
        <w:rPr>
          <w:lang w:val="sv-SE"/>
        </w:rPr>
      </w:pPr>
      <w:r>
        <w:rPr>
          <w:lang w:val="sv-SE"/>
        </w:rPr>
        <w:t xml:space="preserve">GB/T 8170 </w:t>
      </w:r>
      <w:r>
        <w:rPr>
          <w:rFonts w:hint="eastAsia"/>
          <w:lang w:val="sv-SE"/>
        </w:rPr>
        <w:t>数值修约规则与极限数值的表示和判定</w:t>
      </w:r>
    </w:p>
    <w:p w14:paraId="7CFA0BD0">
      <w:pPr>
        <w:pStyle w:val="21"/>
        <w:spacing w:before="312" w:after="312"/>
        <w:rPr>
          <w:rFonts w:hint="eastAsia" w:hAnsi="黑体" w:cs="黑体"/>
          <w:kern w:val="2"/>
          <w:szCs w:val="21"/>
        </w:rPr>
      </w:pPr>
      <w:r>
        <w:rPr>
          <w:rFonts w:hAnsi="黑体" w:cs="黑体"/>
          <w:kern w:val="2"/>
          <w:szCs w:val="21"/>
        </w:rPr>
        <w:t xml:space="preserve">3 </w:t>
      </w:r>
      <w:r>
        <w:rPr>
          <w:rFonts w:hint="eastAsia" w:hAnsi="黑体" w:cs="黑体"/>
          <w:kern w:val="2"/>
          <w:szCs w:val="21"/>
        </w:rPr>
        <w:t>术语和定义</w:t>
      </w:r>
    </w:p>
    <w:p w14:paraId="1FA42FF0">
      <w:pPr>
        <w:pStyle w:val="20"/>
      </w:pPr>
      <w:r>
        <w:rPr>
          <w:rFonts w:hint="eastAsia"/>
        </w:rPr>
        <w:t>本文件没有需要界定的术语和定义。</w:t>
      </w:r>
    </w:p>
    <w:p w14:paraId="78CFC9F3">
      <w:pPr>
        <w:pStyle w:val="21"/>
        <w:spacing w:before="312" w:after="312"/>
        <w:rPr>
          <w:rFonts w:hint="eastAsia" w:hAnsi="黑体" w:cs="黑体"/>
          <w:kern w:val="2"/>
          <w:szCs w:val="21"/>
        </w:rPr>
      </w:pPr>
      <w:r>
        <w:rPr>
          <w:rFonts w:hint="eastAsia" w:hAnsi="黑体" w:cs="黑体"/>
          <w:kern w:val="2"/>
          <w:szCs w:val="21"/>
        </w:rPr>
        <w:t>4 基本信息</w:t>
      </w:r>
    </w:p>
    <w:p w14:paraId="56835F38">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中文名称：龙胆提取物</w:t>
      </w:r>
    </w:p>
    <w:p w14:paraId="08E8CF93">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INCI名称：</w:t>
      </w:r>
      <w:r>
        <w:rPr>
          <w:rFonts w:asciiTheme="minorEastAsia" w:hAnsiTheme="minorEastAsia" w:eastAsiaTheme="minorEastAsia" w:cstheme="minorEastAsia"/>
          <w:szCs w:val="22"/>
        </w:rPr>
        <w:t>G</w:t>
      </w:r>
      <w:r>
        <w:rPr>
          <w:rFonts w:hint="eastAsia" w:asciiTheme="minorEastAsia" w:hAnsiTheme="minorEastAsia" w:eastAsiaTheme="minorEastAsia" w:cstheme="minorEastAsia"/>
          <w:szCs w:val="22"/>
        </w:rPr>
        <w:t>entiana Scabra Extract</w:t>
      </w:r>
    </w:p>
    <w:p w14:paraId="666FE0EA">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主要活性成分：龙胆苦苷（</w:t>
      </w:r>
      <w:r>
        <w:rPr>
          <w:rFonts w:ascii="Arial" w:hAnsi="Arial" w:cs="Arial"/>
          <w:sz w:val="20"/>
        </w:rPr>
        <w:t>Gentiopicroside</w:t>
      </w:r>
      <w:r>
        <w:rPr>
          <w:rFonts w:hint="eastAsia" w:ascii="Arial" w:hAnsi="Arial" w:cs="Arial"/>
          <w:sz w:val="20"/>
        </w:rPr>
        <w:t>，CAS号：</w:t>
      </w:r>
      <w:r>
        <w:rPr>
          <w:rFonts w:ascii="Arial" w:hAnsi="Arial" w:cs="Arial"/>
          <w:sz w:val="20"/>
        </w:rPr>
        <w:t>20831-76-9</w:t>
      </w:r>
      <w:r>
        <w:rPr>
          <w:rFonts w:hint="eastAsia" w:ascii="Arial" w:hAnsi="Arial" w:cs="Arial"/>
          <w:sz w:val="20"/>
        </w:rPr>
        <w:t>）</w:t>
      </w:r>
    </w:p>
    <w:p w14:paraId="6D1458C8">
      <w:pPr>
        <w:pStyle w:val="20"/>
        <w:rPr>
          <w:rFonts w:ascii="Arial" w:hAnsi="Arial" w:cs="Arial"/>
          <w:sz w:val="20"/>
          <w:vertAlign w:val="subscript"/>
        </w:rPr>
      </w:pPr>
      <w:r>
        <w:rPr>
          <w:rFonts w:hint="eastAsia" w:asciiTheme="minorEastAsia" w:hAnsiTheme="minorEastAsia" w:eastAsiaTheme="minorEastAsia" w:cstheme="minorEastAsia"/>
          <w:szCs w:val="22"/>
        </w:rPr>
        <w:t>龙胆苦苷的分子式：</w:t>
      </w:r>
      <w:r>
        <w:rPr>
          <w:rFonts w:ascii="Arial" w:hAnsi="Arial" w:cs="Arial"/>
          <w:sz w:val="20"/>
        </w:rPr>
        <w:t>C</w:t>
      </w:r>
      <w:r>
        <w:rPr>
          <w:rFonts w:hint="eastAsia" w:ascii="Arial" w:hAnsi="Arial" w:cs="Arial"/>
          <w:sz w:val="20"/>
          <w:vertAlign w:val="subscript"/>
        </w:rPr>
        <w:t>16</w:t>
      </w:r>
      <w:r>
        <w:rPr>
          <w:rFonts w:ascii="Arial" w:hAnsi="Arial" w:cs="Arial"/>
          <w:sz w:val="20"/>
        </w:rPr>
        <w:t>H</w:t>
      </w:r>
      <w:r>
        <w:rPr>
          <w:rFonts w:hint="eastAsia" w:ascii="Arial" w:hAnsi="Arial" w:cs="Arial"/>
          <w:sz w:val="20"/>
          <w:vertAlign w:val="subscript"/>
        </w:rPr>
        <w:t>20</w:t>
      </w:r>
      <w:r>
        <w:rPr>
          <w:rFonts w:ascii="Arial" w:hAnsi="Arial" w:cs="Arial"/>
          <w:sz w:val="20"/>
        </w:rPr>
        <w:t>O</w:t>
      </w:r>
      <w:r>
        <w:rPr>
          <w:rFonts w:hint="eastAsia" w:ascii="Arial" w:hAnsi="Arial" w:cs="Arial"/>
          <w:sz w:val="20"/>
          <w:vertAlign w:val="subscript"/>
        </w:rPr>
        <w:t>9</w:t>
      </w:r>
    </w:p>
    <w:p w14:paraId="409EE073">
      <w:pPr>
        <w:pStyle w:val="20"/>
        <w:rPr>
          <w:rFonts w:ascii="Arial" w:hAnsi="Arial" w:cs="Arial"/>
          <w:sz w:val="20"/>
        </w:rPr>
      </w:pPr>
      <w:r>
        <w:rPr>
          <w:rFonts w:hint="eastAsia" w:asciiTheme="minorEastAsia" w:hAnsiTheme="minorEastAsia" w:eastAsiaTheme="minorEastAsia" w:cstheme="minorEastAsia"/>
          <w:szCs w:val="22"/>
        </w:rPr>
        <w:t>龙胆苦苷的分子量：</w:t>
      </w:r>
      <w:r>
        <w:rPr>
          <w:rFonts w:ascii="Arial" w:hAnsi="Arial" w:cs="Arial"/>
          <w:sz w:val="20"/>
        </w:rPr>
        <w:t>356.3</w:t>
      </w:r>
      <w:r>
        <w:rPr>
          <w:rFonts w:hint="eastAsia" w:ascii="Arial" w:hAnsi="Arial" w:cs="Arial"/>
          <w:sz w:val="20"/>
        </w:rPr>
        <w:t>3</w:t>
      </w:r>
    </w:p>
    <w:p w14:paraId="2A1575EB">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龙胆苦苷的化学结构式：</w:t>
      </w:r>
    </w:p>
    <w:p w14:paraId="14597F8E">
      <w:pPr>
        <w:pStyle w:val="20"/>
        <w:ind w:firstLine="0" w:firstLineChars="0"/>
        <w:jc w:val="center"/>
        <w:rPr>
          <w:rFonts w:hint="eastAsia" w:asciiTheme="minorEastAsia" w:hAnsiTheme="minorEastAsia" w:eastAsiaTheme="minorEastAsia" w:cstheme="minorEastAsia"/>
          <w:szCs w:val="22"/>
        </w:rPr>
      </w:pPr>
      <w:r>
        <w:drawing>
          <wp:inline distT="0" distB="0" distL="0" distR="0">
            <wp:extent cx="1723390" cy="1105535"/>
            <wp:effectExtent l="0" t="0" r="101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23390" cy="1105535"/>
                    </a:xfrm>
                    <a:prstGeom prst="rect">
                      <a:avLst/>
                    </a:prstGeom>
                    <a:noFill/>
                  </pic:spPr>
                </pic:pic>
              </a:graphicData>
            </a:graphic>
          </wp:inline>
        </w:drawing>
      </w:r>
    </w:p>
    <w:p w14:paraId="487F337E">
      <w:pPr>
        <w:pStyle w:val="20"/>
        <w:ind w:firstLine="2310" w:firstLineChars="1100"/>
        <w:rPr>
          <w:rFonts w:hint="eastAsia" w:asciiTheme="minorEastAsia" w:hAnsiTheme="minorEastAsia" w:eastAsiaTheme="minorEastAsia" w:cstheme="minorEastAsia"/>
          <w:szCs w:val="22"/>
        </w:rPr>
      </w:pPr>
      <w:r>
        <w:rPr>
          <w:rFonts w:asciiTheme="minorHAnsi" w:hAnsiTheme="minorHAnsi" w:eastAsiaTheme="minorEastAsia" w:cstheme="minorBidi"/>
          <w:kern w:val="2"/>
          <w:szCs w:val="22"/>
        </w:rPr>
        <w:t xml:space="preserve"> </w:t>
      </w:r>
    </w:p>
    <w:p w14:paraId="52E7387F">
      <w:pPr>
        <w:pStyle w:val="21"/>
        <w:spacing w:before="312" w:after="312"/>
        <w:rPr>
          <w:rFonts w:hint="eastAsia" w:hAnsi="黑体" w:cs="黑体"/>
          <w:kern w:val="2"/>
          <w:szCs w:val="21"/>
        </w:rPr>
      </w:pPr>
      <w:r>
        <w:rPr>
          <w:rFonts w:hint="eastAsia" w:hAnsi="黑体" w:cs="黑体"/>
          <w:kern w:val="2"/>
          <w:szCs w:val="21"/>
        </w:rPr>
        <w:t>5 技术要求</w:t>
      </w:r>
    </w:p>
    <w:p w14:paraId="0B6F442B">
      <w:pPr>
        <w:pStyle w:val="21"/>
        <w:spacing w:before="312" w:after="312"/>
        <w:rPr>
          <w:rFonts w:hint="eastAsia" w:hAnsi="黑体" w:cs="黑体"/>
          <w:kern w:val="2"/>
          <w:szCs w:val="21"/>
        </w:rPr>
      </w:pPr>
      <w:r>
        <w:rPr>
          <w:rFonts w:hint="eastAsia"/>
        </w:rPr>
        <w:t>5.1 工艺要求</w:t>
      </w:r>
    </w:p>
    <w:p w14:paraId="4696EBE7">
      <w:pPr>
        <w:pStyle w:val="21"/>
        <w:spacing w:before="312" w:after="312"/>
        <w:rPr>
          <w:rFonts w:hint="eastAsia" w:hAnsi="黑体" w:cs="黑体"/>
          <w:kern w:val="2"/>
          <w:szCs w:val="21"/>
        </w:rPr>
      </w:pPr>
      <w:r>
        <w:rPr>
          <w:rFonts w:hint="eastAsia" w:hAnsi="黑体" w:cs="黑体"/>
          <w:kern w:val="2"/>
          <w:szCs w:val="21"/>
        </w:rPr>
        <w:t>5.1.1 植物原料</w:t>
      </w:r>
    </w:p>
    <w:p w14:paraId="26E4E54C">
      <w:pPr>
        <w:pStyle w:val="20"/>
      </w:pPr>
      <w:r>
        <w:rPr>
          <w:rFonts w:hint="eastAsia"/>
        </w:rPr>
        <w:t>为龙胆科植物条叶龙胆（</w:t>
      </w:r>
      <w:r>
        <w:rPr>
          <w:rFonts w:hint="eastAsia"/>
          <w:i/>
        </w:rPr>
        <w:t>Gentiana manshurica</w:t>
      </w:r>
      <w:r>
        <w:rPr>
          <w:rFonts w:hint="eastAsia"/>
        </w:rPr>
        <w:t>）、龙胆（</w:t>
      </w:r>
      <w:r>
        <w:rPr>
          <w:rFonts w:hint="eastAsia"/>
          <w:i/>
        </w:rPr>
        <w:t>G</w:t>
      </w:r>
      <w:r>
        <w:rPr>
          <w:i/>
        </w:rPr>
        <w:t xml:space="preserve">entiana </w:t>
      </w:r>
      <w:r>
        <w:rPr>
          <w:rFonts w:hint="eastAsia"/>
          <w:i/>
        </w:rPr>
        <w:t>scabra</w:t>
      </w:r>
      <w:r>
        <w:rPr>
          <w:rFonts w:hint="eastAsia"/>
        </w:rPr>
        <w:t>）、三花龙胆（</w:t>
      </w:r>
      <w:r>
        <w:rPr>
          <w:rFonts w:hint="eastAsia"/>
          <w:i/>
        </w:rPr>
        <w:t>G</w:t>
      </w:r>
      <w:r>
        <w:rPr>
          <w:i/>
        </w:rPr>
        <w:t>entiana</w:t>
      </w:r>
      <w:r>
        <w:rPr>
          <w:rFonts w:hint="eastAsia"/>
          <w:i/>
        </w:rPr>
        <w:t xml:space="preserve"> triflora</w:t>
      </w:r>
      <w:r>
        <w:rPr>
          <w:rFonts w:hint="eastAsia"/>
        </w:rPr>
        <w:t>）或滇龙胆（</w:t>
      </w:r>
      <w:r>
        <w:rPr>
          <w:rFonts w:hint="eastAsia"/>
          <w:i/>
        </w:rPr>
        <w:t>G</w:t>
      </w:r>
      <w:r>
        <w:rPr>
          <w:i/>
        </w:rPr>
        <w:t>entiana</w:t>
      </w:r>
      <w:r>
        <w:rPr>
          <w:rFonts w:hint="eastAsia"/>
          <w:i/>
        </w:rPr>
        <w:t xml:space="preserve"> rigescens</w:t>
      </w:r>
      <w:r>
        <w:rPr>
          <w:rFonts w:hint="eastAsia"/>
        </w:rPr>
        <w:t>）的干燥根和根茎。</w:t>
      </w:r>
    </w:p>
    <w:p w14:paraId="363D490F">
      <w:pPr>
        <w:pStyle w:val="21"/>
        <w:spacing w:before="312" w:after="312"/>
        <w:rPr>
          <w:rFonts w:hint="eastAsia" w:hAnsi="黑体" w:cs="黑体"/>
          <w:kern w:val="2"/>
          <w:szCs w:val="21"/>
        </w:rPr>
      </w:pPr>
      <w:r>
        <w:rPr>
          <w:rFonts w:hint="eastAsia" w:hAnsi="黑体" w:cs="黑体"/>
          <w:kern w:val="2"/>
          <w:szCs w:val="21"/>
        </w:rPr>
        <w:t>5.1.2 工艺过程</w:t>
      </w:r>
    </w:p>
    <w:p w14:paraId="6828A3FB">
      <w:pPr>
        <w:pStyle w:val="20"/>
      </w:pPr>
      <w:r>
        <w:rPr>
          <w:rFonts w:hint="eastAsia"/>
        </w:rPr>
        <w:t>夏、秋二季采挖，除去须根，洗净，置沸水中煮后除去外皮或去皮后再煮，晒干。以有机醇或水或适当比例的二者混合溶液作为提取溶剂进行提取。</w:t>
      </w:r>
    </w:p>
    <w:p w14:paraId="7A27C4B9">
      <w:pPr>
        <w:pStyle w:val="21"/>
        <w:spacing w:before="312" w:after="312"/>
        <w:rPr>
          <w:rFonts w:hint="eastAsia" w:hAnsi="黑体" w:cs="黑体"/>
          <w:kern w:val="2"/>
          <w:szCs w:val="21"/>
        </w:rPr>
      </w:pPr>
      <w:r>
        <w:rPr>
          <w:rFonts w:hint="eastAsia" w:hAnsi="黑体" w:cs="黑体"/>
          <w:kern w:val="2"/>
          <w:szCs w:val="21"/>
        </w:rPr>
        <w:t>5.2 产品要求</w:t>
      </w:r>
    </w:p>
    <w:p w14:paraId="62B2E6AA">
      <w:pPr>
        <w:pStyle w:val="21"/>
        <w:spacing w:before="312" w:after="312"/>
        <w:rPr>
          <w:rFonts w:hint="eastAsia" w:hAnsi="黑体" w:cs="黑体"/>
          <w:kern w:val="2"/>
          <w:szCs w:val="21"/>
        </w:rPr>
      </w:pPr>
      <w:r>
        <w:rPr>
          <w:rFonts w:hint="eastAsia" w:hAnsi="黑体" w:cs="黑体"/>
          <w:kern w:val="2"/>
          <w:szCs w:val="21"/>
        </w:rPr>
        <w:t>5.2.1 感官、理化指标</w:t>
      </w:r>
    </w:p>
    <w:p w14:paraId="0447F289">
      <w:pPr>
        <w:pStyle w:val="20"/>
      </w:pPr>
      <w:r>
        <w:rPr>
          <w:rFonts w:hint="eastAsia"/>
        </w:rPr>
        <w:t>感官、理化指标详见表1。</w:t>
      </w:r>
    </w:p>
    <w:p w14:paraId="57301F06">
      <w:pPr>
        <w:pStyle w:val="20"/>
        <w:ind w:firstLine="3255" w:firstLineChars="1550"/>
        <w:rPr>
          <w:rFonts w:ascii="黑体" w:eastAsia="黑体" w:cs="黑体"/>
          <w:szCs w:val="21"/>
        </w:rPr>
      </w:pPr>
      <w:r>
        <w:rPr>
          <w:rFonts w:hint="eastAsia" w:ascii="黑体" w:eastAsia="黑体" w:cs="黑体"/>
          <w:szCs w:val="21"/>
        </w:rPr>
        <w:t>表</w:t>
      </w:r>
      <w:r>
        <w:rPr>
          <w:rFonts w:ascii="黑体" w:eastAsia="黑体" w:cs="黑体"/>
          <w:szCs w:val="21"/>
        </w:rPr>
        <w:t xml:space="preserve">1 </w:t>
      </w:r>
      <w:r>
        <w:rPr>
          <w:rFonts w:hint="eastAsia" w:ascii="黑体" w:eastAsia="黑体" w:cs="黑体"/>
          <w:szCs w:val="21"/>
        </w:rPr>
        <w:t>感官、理化指标</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644"/>
      </w:tblGrid>
      <w:tr w14:paraId="3C66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6C231E4A">
            <w:pPr>
              <w:pStyle w:val="20"/>
              <w:ind w:firstLine="0" w:firstLineChars="0"/>
              <w:jc w:val="center"/>
              <w:rPr>
                <w:sz w:val="18"/>
                <w:szCs w:val="18"/>
              </w:rPr>
            </w:pPr>
            <w:r>
              <w:rPr>
                <w:sz w:val="18"/>
                <w:szCs w:val="18"/>
              </w:rPr>
              <w:t>项目</w:t>
            </w:r>
          </w:p>
        </w:tc>
        <w:tc>
          <w:tcPr>
            <w:tcW w:w="3644" w:type="dxa"/>
          </w:tcPr>
          <w:p w14:paraId="1A4DF96B">
            <w:pPr>
              <w:pStyle w:val="20"/>
              <w:ind w:firstLine="0" w:firstLineChars="0"/>
              <w:jc w:val="center"/>
              <w:rPr>
                <w:sz w:val="18"/>
                <w:szCs w:val="18"/>
              </w:rPr>
            </w:pPr>
            <w:r>
              <w:rPr>
                <w:sz w:val="18"/>
                <w:szCs w:val="18"/>
              </w:rPr>
              <w:t>要求</w:t>
            </w:r>
          </w:p>
        </w:tc>
      </w:tr>
      <w:tr w14:paraId="7A63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36DEFC3F">
            <w:pPr>
              <w:pStyle w:val="20"/>
              <w:ind w:firstLine="0" w:firstLineChars="0"/>
              <w:jc w:val="center"/>
              <w:rPr>
                <w:sz w:val="18"/>
                <w:szCs w:val="18"/>
              </w:rPr>
            </w:pPr>
            <w:r>
              <w:rPr>
                <w:sz w:val="18"/>
                <w:szCs w:val="18"/>
              </w:rPr>
              <w:t>外观</w:t>
            </w:r>
          </w:p>
        </w:tc>
        <w:tc>
          <w:tcPr>
            <w:tcW w:w="3644" w:type="dxa"/>
          </w:tcPr>
          <w:p w14:paraId="237FD6E1">
            <w:pPr>
              <w:pStyle w:val="20"/>
              <w:ind w:firstLine="0" w:firstLineChars="0"/>
              <w:jc w:val="center"/>
              <w:rPr>
                <w:sz w:val="18"/>
                <w:szCs w:val="18"/>
              </w:rPr>
            </w:pPr>
            <w:r>
              <w:rPr>
                <w:rFonts w:hint="eastAsia" w:asciiTheme="minorEastAsia" w:hAnsiTheme="minorEastAsia" w:eastAsiaTheme="minorEastAsia" w:cstheme="minorEastAsia"/>
                <w:sz w:val="18"/>
                <w:szCs w:val="18"/>
              </w:rPr>
              <w:t>黄色至深棕色澄清液体</w:t>
            </w:r>
          </w:p>
        </w:tc>
      </w:tr>
      <w:tr w14:paraId="3C9C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4A0E4AB2">
            <w:pPr>
              <w:pStyle w:val="20"/>
              <w:ind w:firstLine="0" w:firstLineChars="0"/>
              <w:jc w:val="center"/>
              <w:rPr>
                <w:sz w:val="18"/>
                <w:szCs w:val="18"/>
              </w:rPr>
            </w:pPr>
            <w:r>
              <w:rPr>
                <w:sz w:val="18"/>
                <w:szCs w:val="18"/>
              </w:rPr>
              <w:t>气味</w:t>
            </w:r>
          </w:p>
        </w:tc>
        <w:tc>
          <w:tcPr>
            <w:tcW w:w="3644" w:type="dxa"/>
          </w:tcPr>
          <w:p w14:paraId="21545DB7">
            <w:pPr>
              <w:pStyle w:val="20"/>
              <w:ind w:firstLine="0" w:firstLineChars="0"/>
              <w:jc w:val="center"/>
              <w:rPr>
                <w:sz w:val="18"/>
                <w:szCs w:val="18"/>
              </w:rPr>
            </w:pPr>
            <w:r>
              <w:rPr>
                <w:rFonts w:hint="eastAsia" w:asciiTheme="minorEastAsia" w:hAnsiTheme="minorEastAsia" w:eastAsiaTheme="minorEastAsia" w:cstheme="minorEastAsia"/>
                <w:sz w:val="18"/>
                <w:szCs w:val="18"/>
              </w:rPr>
              <w:t>有特征气味</w:t>
            </w:r>
          </w:p>
        </w:tc>
      </w:tr>
      <w:tr w14:paraId="7A70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47E546E7">
            <w:pPr>
              <w:pStyle w:val="20"/>
              <w:ind w:firstLine="0" w:firstLineChars="0"/>
              <w:jc w:val="center"/>
              <w:rPr>
                <w:sz w:val="18"/>
                <w:szCs w:val="18"/>
              </w:rPr>
            </w:pPr>
            <w:r>
              <w:rPr>
                <w:rFonts w:hint="eastAsia"/>
                <w:sz w:val="18"/>
                <w:szCs w:val="18"/>
              </w:rPr>
              <w:t>pH值</w:t>
            </w:r>
          </w:p>
        </w:tc>
        <w:tc>
          <w:tcPr>
            <w:tcW w:w="3644" w:type="dxa"/>
          </w:tcPr>
          <w:p w14:paraId="41DDF0EC">
            <w:pPr>
              <w:pStyle w:val="20"/>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3.5-6.</w:t>
            </w:r>
            <w:r>
              <w:rPr>
                <w:rFonts w:hint="eastAsia" w:asciiTheme="minorEastAsia" w:hAnsiTheme="minorEastAsia" w:eastAsiaTheme="minorEastAsia" w:cstheme="minorEastAsia"/>
                <w:sz w:val="18"/>
                <w:szCs w:val="18"/>
              </w:rPr>
              <w:t>8</w:t>
            </w:r>
          </w:p>
        </w:tc>
      </w:tr>
      <w:tr w14:paraId="52D1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4467CDE7">
            <w:pPr>
              <w:pStyle w:val="20"/>
              <w:ind w:firstLine="0" w:firstLineChars="0"/>
              <w:jc w:val="center"/>
              <w:rPr>
                <w:sz w:val="18"/>
                <w:szCs w:val="18"/>
              </w:rPr>
            </w:pPr>
            <w:r>
              <w:rPr>
                <w:rFonts w:hint="eastAsia"/>
                <w:sz w:val="18"/>
                <w:szCs w:val="18"/>
              </w:rPr>
              <w:t>密度</w:t>
            </w:r>
          </w:p>
        </w:tc>
        <w:tc>
          <w:tcPr>
            <w:tcW w:w="3644" w:type="dxa"/>
          </w:tcPr>
          <w:p w14:paraId="5D52F6C0">
            <w:pPr>
              <w:pStyle w:val="2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0.9510</w:t>
            </w:r>
            <w:r>
              <w:rPr>
                <w:rFonts w:asciiTheme="minorEastAsia" w:hAnsiTheme="minorEastAsia" w:eastAsiaTheme="minorEastAsia" w:cstheme="minorEastAsia"/>
                <w:sz w:val="18"/>
                <w:szCs w:val="18"/>
              </w:rPr>
              <w:t>-1.1600</w:t>
            </w:r>
          </w:p>
        </w:tc>
      </w:tr>
      <w:tr w14:paraId="6B6C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3871E673">
            <w:pPr>
              <w:pStyle w:val="20"/>
              <w:ind w:firstLine="0" w:firstLineChars="0"/>
              <w:jc w:val="center"/>
              <w:rPr>
                <w:sz w:val="18"/>
                <w:szCs w:val="18"/>
              </w:rPr>
            </w:pPr>
            <w:r>
              <w:rPr>
                <w:rFonts w:hint="eastAsia"/>
                <w:sz w:val="18"/>
                <w:szCs w:val="18"/>
              </w:rPr>
              <w:t>折光率</w:t>
            </w:r>
          </w:p>
        </w:tc>
        <w:tc>
          <w:tcPr>
            <w:tcW w:w="3644" w:type="dxa"/>
          </w:tcPr>
          <w:p w14:paraId="04A28F9D">
            <w:pPr>
              <w:pStyle w:val="20"/>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1.3500-1.4500</w:t>
            </w:r>
          </w:p>
        </w:tc>
      </w:tr>
      <w:tr w14:paraId="01F5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vAlign w:val="center"/>
          </w:tcPr>
          <w:p w14:paraId="31C4391F">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龙胆苦苷含量（mg/m</w:t>
            </w:r>
            <w:r>
              <w:rPr>
                <w:rFonts w:asciiTheme="minorEastAsia" w:hAnsiTheme="minorEastAsia" w:eastAsiaTheme="minorEastAsia" w:cstheme="minorEastAsia"/>
                <w:sz w:val="18"/>
                <w:szCs w:val="18"/>
              </w:rPr>
              <w:t>L</w:t>
            </w:r>
            <w:r>
              <w:rPr>
                <w:rFonts w:hint="eastAsia" w:asciiTheme="minorEastAsia" w:hAnsiTheme="minorEastAsia" w:eastAsiaTheme="minorEastAsia" w:cstheme="minorEastAsia"/>
                <w:sz w:val="18"/>
                <w:szCs w:val="18"/>
              </w:rPr>
              <w:t>）</w:t>
            </w:r>
          </w:p>
        </w:tc>
        <w:tc>
          <w:tcPr>
            <w:tcW w:w="3644" w:type="dxa"/>
          </w:tcPr>
          <w:p w14:paraId="4FD037B2">
            <w:pPr>
              <w:pStyle w:val="1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r>
    </w:tbl>
    <w:p w14:paraId="455E820A">
      <w:pPr>
        <w:pStyle w:val="21"/>
        <w:spacing w:before="312" w:after="312"/>
        <w:rPr>
          <w:rFonts w:hint="eastAsia" w:hAnsi="黑体" w:cs="黑体"/>
          <w:kern w:val="2"/>
          <w:szCs w:val="21"/>
        </w:rPr>
      </w:pPr>
      <w:r>
        <w:rPr>
          <w:rFonts w:hint="eastAsia" w:hAnsi="黑体" w:cs="黑体"/>
          <w:kern w:val="2"/>
          <w:szCs w:val="21"/>
        </w:rPr>
        <w:t>5.2.2 微生物指标</w:t>
      </w:r>
    </w:p>
    <w:p w14:paraId="55AF99D8">
      <w:pPr>
        <w:pStyle w:val="20"/>
      </w:pPr>
      <w:r>
        <w:rPr>
          <w:rFonts w:hint="eastAsia"/>
        </w:rPr>
        <w:t>微生物指标详见表2。</w:t>
      </w:r>
    </w:p>
    <w:p w14:paraId="4CADC6A4">
      <w:pPr>
        <w:pStyle w:val="20"/>
        <w:ind w:firstLine="0" w:firstLineChars="0"/>
        <w:jc w:val="center"/>
      </w:pPr>
      <w:r>
        <w:rPr>
          <w:rFonts w:hint="eastAsia" w:ascii="黑体" w:eastAsia="黑体" w:cs="黑体"/>
          <w:szCs w:val="21"/>
        </w:rPr>
        <w:t>表2</w:t>
      </w:r>
      <w:r>
        <w:rPr>
          <w:rFonts w:ascii="黑体" w:eastAsia="黑体" w:cs="黑体"/>
          <w:szCs w:val="21"/>
        </w:rPr>
        <w:t xml:space="preserve"> </w:t>
      </w:r>
      <w:r>
        <w:rPr>
          <w:rFonts w:hint="eastAsia" w:ascii="黑体" w:eastAsia="黑体" w:cs="黑体"/>
          <w:szCs w:val="21"/>
        </w:rPr>
        <w:t>微生物及有害物质指标</w:t>
      </w:r>
    </w:p>
    <w:tbl>
      <w:tblPr>
        <w:tblStyle w:val="8"/>
        <w:tblW w:w="7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3618"/>
      </w:tblGrid>
      <w:tr w14:paraId="648D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0" w:type="dxa"/>
          </w:tcPr>
          <w:p w14:paraId="41AA4CE2">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3671" w:type="dxa"/>
          </w:tcPr>
          <w:p w14:paraId="3D5442A2">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w:t>
            </w:r>
          </w:p>
        </w:tc>
      </w:tr>
      <w:tr w14:paraId="3370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1348D55B">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菌落总数（cfu/g）</w:t>
            </w:r>
          </w:p>
        </w:tc>
        <w:tc>
          <w:tcPr>
            <w:tcW w:w="3671" w:type="dxa"/>
          </w:tcPr>
          <w:p w14:paraId="6C2DC877">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r>
      <w:tr w14:paraId="3E1D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7C9A47BA">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霉菌、酵母菌总数（cfu/g）</w:t>
            </w:r>
          </w:p>
        </w:tc>
        <w:tc>
          <w:tcPr>
            <w:tcW w:w="3671" w:type="dxa"/>
          </w:tcPr>
          <w:p w14:paraId="45BEA71A">
            <w:pPr>
              <w:pStyle w:val="17"/>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r>
    </w:tbl>
    <w:p w14:paraId="3695B78B">
      <w:pPr>
        <w:pStyle w:val="21"/>
        <w:spacing w:before="312" w:after="312"/>
        <w:rPr>
          <w:rFonts w:hint="eastAsia" w:hAnsi="黑体" w:cs="黑体"/>
          <w:kern w:val="2"/>
          <w:szCs w:val="21"/>
        </w:rPr>
      </w:pPr>
      <w:r>
        <w:rPr>
          <w:rFonts w:hint="eastAsia" w:hAnsi="黑体" w:cs="黑体"/>
          <w:kern w:val="2"/>
          <w:szCs w:val="21"/>
        </w:rPr>
        <w:t>6 检测方法</w:t>
      </w:r>
    </w:p>
    <w:p w14:paraId="28AF109C">
      <w:pPr>
        <w:pStyle w:val="21"/>
        <w:spacing w:before="312" w:after="312"/>
        <w:rPr>
          <w:rFonts w:hint="eastAsia" w:hAnsi="黑体" w:cs="黑体"/>
          <w:kern w:val="2"/>
          <w:szCs w:val="21"/>
        </w:rPr>
      </w:pPr>
      <w:r>
        <w:rPr>
          <w:rFonts w:hint="eastAsia" w:hAnsi="黑体" w:cs="黑体"/>
          <w:kern w:val="2"/>
          <w:szCs w:val="21"/>
        </w:rPr>
        <w:t>6</w:t>
      </w:r>
      <w:r>
        <w:rPr>
          <w:rFonts w:hAnsi="黑体" w:cs="黑体"/>
          <w:kern w:val="2"/>
          <w:szCs w:val="21"/>
        </w:rPr>
        <w:t xml:space="preserve">.1 </w:t>
      </w:r>
      <w:r>
        <w:rPr>
          <w:rFonts w:hint="eastAsia" w:hAnsi="黑体" w:cs="黑体"/>
          <w:kern w:val="2"/>
          <w:szCs w:val="21"/>
        </w:rPr>
        <w:t>外观</w:t>
      </w:r>
    </w:p>
    <w:p w14:paraId="5F1D0497">
      <w:pPr>
        <w:pStyle w:val="21"/>
        <w:spacing w:before="312" w:after="312"/>
        <w:ind w:firstLine="420" w:firstLineChars="200"/>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在非直射阳光条件下，取样品与比色管中进行目测。</w:t>
      </w:r>
    </w:p>
    <w:p w14:paraId="7745FF7A">
      <w:pPr>
        <w:pStyle w:val="21"/>
        <w:spacing w:before="312" w:after="312"/>
        <w:rPr>
          <w:rFonts w:hint="eastAsia" w:hAnsi="黑体" w:cs="黑体"/>
          <w:kern w:val="2"/>
          <w:szCs w:val="21"/>
        </w:rPr>
      </w:pPr>
      <w:r>
        <w:rPr>
          <w:rFonts w:hint="eastAsia" w:hAnsi="黑体" w:cs="黑体"/>
          <w:kern w:val="2"/>
          <w:szCs w:val="21"/>
        </w:rPr>
        <w:t>6</w:t>
      </w:r>
      <w:r>
        <w:rPr>
          <w:rFonts w:hAnsi="黑体" w:cs="黑体"/>
          <w:kern w:val="2"/>
          <w:szCs w:val="21"/>
        </w:rPr>
        <w:t xml:space="preserve">.2 </w:t>
      </w:r>
      <w:r>
        <w:rPr>
          <w:rFonts w:hint="eastAsia" w:hAnsi="黑体" w:cs="黑体"/>
          <w:kern w:val="2"/>
          <w:szCs w:val="21"/>
        </w:rPr>
        <w:t>气味</w:t>
      </w:r>
    </w:p>
    <w:p w14:paraId="5366D75E">
      <w:pPr>
        <w:pStyle w:val="21"/>
        <w:spacing w:before="312" w:after="312"/>
        <w:rPr>
          <w:rFonts w:hint="eastAsia" w:hAnsi="黑体" w:cs="黑体"/>
          <w:kern w:val="2"/>
          <w:szCs w:val="21"/>
        </w:rPr>
      </w:pPr>
      <w:r>
        <w:rPr>
          <w:rFonts w:hint="eastAsia" w:hAnsi="黑体" w:cs="黑体"/>
          <w:kern w:val="2"/>
          <w:szCs w:val="21"/>
        </w:rPr>
        <w:t>6.2.1仪器与试剂</w:t>
      </w:r>
    </w:p>
    <w:p w14:paraId="2B61084B">
      <w:pPr>
        <w:pStyle w:val="20"/>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评香试条；</w:t>
      </w:r>
    </w:p>
    <w:p w14:paraId="4487E23D">
      <w:pPr>
        <w:pStyle w:val="20"/>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敞口烧杯；</w:t>
      </w:r>
    </w:p>
    <w:p w14:paraId="2BFF1275">
      <w:pPr>
        <w:numPr>
          <w:ilvl w:val="0"/>
          <w:numId w:val="1"/>
        </w:numPr>
        <w:autoSpaceDE w:val="0"/>
        <w:autoSpaceDN w:val="0"/>
        <w:adjustRightInd w:val="0"/>
        <w:ind w:firstLine="420"/>
        <w:jc w:val="left"/>
        <w:rPr>
          <w:rFonts w:hint="eastAsia" w:asciiTheme="minorEastAsia" w:hAnsiTheme="minorEastAsia" w:cstheme="minorEastAsia"/>
        </w:rPr>
      </w:pPr>
      <w:r>
        <w:rPr>
          <w:rFonts w:hint="eastAsia" w:asciiTheme="minorEastAsia" w:hAnsiTheme="minorEastAsia" w:cstheme="minorEastAsia"/>
        </w:rPr>
        <w:t>龙胆提取物工作标准品：</w:t>
      </w:r>
      <w:r>
        <w:rPr>
          <w:rFonts w:hint="eastAsia" w:ascii="宋体" w:hAnsi="Calibri" w:eastAsia="宋体" w:cs="宋体"/>
          <w:kern w:val="0"/>
          <w:szCs w:val="21"/>
        </w:rPr>
        <w:t>工作标准品从以前生产的、并经过产品安全部门接受的产品中取样。</w:t>
      </w:r>
    </w:p>
    <w:p w14:paraId="3D7BC8F7">
      <w:pPr>
        <w:pStyle w:val="21"/>
        <w:spacing w:before="312" w:after="312"/>
        <w:rPr>
          <w:rFonts w:hint="eastAsia" w:hAnsi="黑体" w:cs="黑体"/>
          <w:kern w:val="2"/>
          <w:szCs w:val="21"/>
        </w:rPr>
      </w:pPr>
      <w:r>
        <w:rPr>
          <w:rFonts w:hint="eastAsia" w:hAnsi="黑体" w:cs="黑体"/>
          <w:kern w:val="2"/>
          <w:szCs w:val="21"/>
        </w:rPr>
        <w:t>6.2.2测定步骤</w:t>
      </w:r>
    </w:p>
    <w:p w14:paraId="50D984AB">
      <w:pPr>
        <w:spacing w:before="312" w:after="312"/>
        <w:ind w:firstLine="420"/>
      </w:pPr>
      <w:r>
        <w:rPr>
          <w:rFonts w:hint="eastAsia"/>
        </w:rPr>
        <w:t>评估小组一般由2-3人组成。评估小组用评香试条在试样容器中沾取试样，通过与龙胆提取物工作标准品对照，评测产品的气味。气味较浓的产品应稀释后进行评价。</w:t>
      </w:r>
    </w:p>
    <w:p w14:paraId="43C38543">
      <w:pPr>
        <w:pStyle w:val="21"/>
        <w:spacing w:before="312" w:after="312"/>
        <w:rPr>
          <w:rFonts w:hint="eastAsia" w:hAnsi="黑体" w:cs="黑体"/>
          <w:kern w:val="2"/>
          <w:szCs w:val="21"/>
        </w:rPr>
      </w:pPr>
      <w:bookmarkStart w:id="12" w:name="_Hlk146009918"/>
      <w:r>
        <w:rPr>
          <w:rFonts w:hint="eastAsia" w:hAnsi="黑体" w:cs="黑体"/>
          <w:kern w:val="2"/>
          <w:szCs w:val="21"/>
        </w:rPr>
        <w:t>6.3 pH值</w:t>
      </w:r>
    </w:p>
    <w:p w14:paraId="3EDC3FD2">
      <w:pPr>
        <w:ind w:firstLine="420"/>
      </w:pPr>
      <w:r>
        <w:rPr>
          <w:rFonts w:hint="eastAsia"/>
        </w:rPr>
        <w:t>按《中华人民共和国药典》（2020年版）第四部通则 0631 pH值测定法进行检测。</w:t>
      </w:r>
    </w:p>
    <w:p w14:paraId="22892505">
      <w:pPr>
        <w:pStyle w:val="21"/>
        <w:spacing w:before="312" w:after="312"/>
        <w:rPr>
          <w:rFonts w:hint="eastAsia" w:hAnsi="黑体" w:cs="黑体"/>
          <w:kern w:val="2"/>
          <w:szCs w:val="21"/>
        </w:rPr>
      </w:pPr>
      <w:r>
        <w:rPr>
          <w:rFonts w:hint="eastAsia" w:hAnsi="黑体" w:cs="黑体"/>
          <w:kern w:val="2"/>
          <w:szCs w:val="21"/>
        </w:rPr>
        <w:t>6.4 密度</w:t>
      </w:r>
    </w:p>
    <w:p w14:paraId="025E0078">
      <w:pPr>
        <w:ind w:firstLine="420"/>
      </w:pPr>
      <w:r>
        <w:rPr>
          <w:rFonts w:hint="eastAsia"/>
        </w:rPr>
        <w:t>按《中华人民共和国药典》（2020年版）第四部通则 0601 相对密度测定法进行检测。</w:t>
      </w:r>
    </w:p>
    <w:p w14:paraId="6B44B24A">
      <w:pPr>
        <w:pStyle w:val="21"/>
        <w:spacing w:before="312" w:after="312"/>
        <w:rPr>
          <w:rFonts w:hint="eastAsia" w:hAnsi="黑体" w:cs="黑体"/>
          <w:kern w:val="2"/>
          <w:szCs w:val="21"/>
        </w:rPr>
      </w:pPr>
      <w:r>
        <w:rPr>
          <w:rFonts w:hint="eastAsia" w:hAnsi="黑体" w:cs="黑体"/>
          <w:kern w:val="2"/>
          <w:szCs w:val="21"/>
        </w:rPr>
        <w:t>6.5 折光率</w:t>
      </w:r>
    </w:p>
    <w:p w14:paraId="4578B1A7">
      <w:pPr>
        <w:ind w:firstLine="420"/>
      </w:pPr>
      <w:r>
        <w:rPr>
          <w:rFonts w:hint="eastAsia"/>
        </w:rPr>
        <w:t>按《中华人民共和国药典》（2020年版）第四部通则 0622 折光率测定法进行检测。</w:t>
      </w:r>
    </w:p>
    <w:bookmarkEnd w:id="12"/>
    <w:p w14:paraId="42442C4F">
      <w:pPr>
        <w:pStyle w:val="21"/>
        <w:spacing w:before="312" w:after="312"/>
        <w:rPr>
          <w:rFonts w:hint="eastAsia" w:hAnsi="黑体" w:cs="黑体"/>
          <w:kern w:val="2"/>
          <w:szCs w:val="21"/>
        </w:rPr>
      </w:pPr>
      <w:r>
        <w:rPr>
          <w:rFonts w:hint="eastAsia" w:hAnsi="黑体" w:cs="黑体"/>
          <w:kern w:val="2"/>
          <w:szCs w:val="21"/>
        </w:rPr>
        <w:t>6</w:t>
      </w:r>
      <w:r>
        <w:rPr>
          <w:rFonts w:hAnsi="黑体" w:cs="黑体"/>
          <w:kern w:val="2"/>
          <w:szCs w:val="21"/>
        </w:rPr>
        <w:t>.6</w:t>
      </w:r>
      <w:r>
        <w:rPr>
          <w:rFonts w:hint="eastAsia" w:hAnsi="黑体" w:cs="黑体"/>
          <w:kern w:val="2"/>
          <w:szCs w:val="21"/>
        </w:rPr>
        <w:t>龙胆苦苷含量</w:t>
      </w:r>
    </w:p>
    <w:p w14:paraId="4C64A7F8">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按《中华人民共和国药典》（2020年版）第一部龙胆-含量测定执行。</w:t>
      </w:r>
    </w:p>
    <w:p w14:paraId="4C8CA3B1">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色谱条件与系统适用性试验：以十八烷基硅烷键合硅胶为填充剂；以甲醇-水（25:75）为流动相；检测波长为270 nm。理论板数按龙胆苦苷峰计算应不低于3000。</w:t>
      </w:r>
    </w:p>
    <w:p w14:paraId="4A70ABE5">
      <w:pPr>
        <w:pStyle w:val="23"/>
        <w:ind w:firstLine="420" w:firstLineChars="200"/>
        <w:rPr>
          <w:rFonts w:hint="eastAsia" w:asciiTheme="minorEastAsia" w:hAnsiTheme="minorEastAsia" w:cstheme="minorEastAsia"/>
        </w:rPr>
      </w:pPr>
      <w:r>
        <w:rPr>
          <w:rFonts w:hint="eastAsia" w:asciiTheme="minorEastAsia" w:hAnsiTheme="minorEastAsia" w:eastAsiaTheme="minorEastAsia" w:cstheme="minorEastAsia"/>
          <w:color w:val="auto"/>
          <w:sz w:val="21"/>
          <w:szCs w:val="22"/>
        </w:rPr>
        <w:t>结果计算：根据标准曲线拟合方程计算出样品中龙胆苦苷的含量，以重复性条件下获得的两次独立测定结果的算术平均值表示，两次独立测定的绝对差值不得超过算术平均值的</w:t>
      </w:r>
      <w:r>
        <w:rPr>
          <w:rFonts w:asciiTheme="minorEastAsia" w:hAnsiTheme="minorEastAsia" w:eastAsiaTheme="minorEastAsia" w:cstheme="minorEastAsia"/>
          <w:color w:val="auto"/>
          <w:sz w:val="21"/>
          <w:szCs w:val="22"/>
        </w:rPr>
        <w:t>10%</w:t>
      </w:r>
      <w:r>
        <w:rPr>
          <w:rFonts w:hint="eastAsia" w:asciiTheme="minorEastAsia" w:hAnsiTheme="minorEastAsia" w:eastAsiaTheme="minorEastAsia" w:cstheme="minorEastAsia"/>
          <w:color w:val="auto"/>
          <w:sz w:val="21"/>
          <w:szCs w:val="22"/>
        </w:rPr>
        <w:t>。</w:t>
      </w:r>
    </w:p>
    <w:p w14:paraId="5F7F4DED">
      <w:pPr>
        <w:pStyle w:val="21"/>
        <w:spacing w:before="312" w:after="312"/>
        <w:rPr>
          <w:rFonts w:hint="eastAsia" w:hAnsi="黑体" w:cs="黑体"/>
          <w:kern w:val="2"/>
          <w:szCs w:val="21"/>
        </w:rPr>
      </w:pPr>
      <w:r>
        <w:rPr>
          <w:rFonts w:hint="eastAsia" w:hAnsi="黑体" w:cs="黑体"/>
          <w:kern w:val="2"/>
        </w:rPr>
        <w:t>6</w:t>
      </w:r>
      <w:r>
        <w:rPr>
          <w:rFonts w:hAnsi="黑体" w:cs="黑体"/>
          <w:kern w:val="2"/>
        </w:rPr>
        <w:t>.7</w:t>
      </w:r>
      <w:r>
        <w:rPr>
          <w:rFonts w:hint="eastAsia" w:hAnsi="黑体" w:cs="黑体"/>
          <w:kern w:val="2"/>
        </w:rPr>
        <w:t xml:space="preserve"> </w:t>
      </w:r>
      <w:r>
        <w:rPr>
          <w:rFonts w:ascii="Times New Roman" w:hAnsi="Times New Roman"/>
        </w:rPr>
        <w:t>微生物指标</w:t>
      </w:r>
    </w:p>
    <w:p w14:paraId="31DD5FDB">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按《化妆品安全技术规范》20</w:t>
      </w:r>
      <w:r>
        <w:rPr>
          <w:rFonts w:asciiTheme="minorEastAsia" w:hAnsiTheme="minorEastAsia" w:eastAsiaTheme="minorEastAsia" w:cstheme="minorEastAsia"/>
          <w:szCs w:val="22"/>
        </w:rPr>
        <w:t>15</w:t>
      </w:r>
      <w:r>
        <w:rPr>
          <w:rFonts w:hint="eastAsia" w:asciiTheme="minorEastAsia" w:hAnsiTheme="minorEastAsia" w:eastAsiaTheme="minorEastAsia" w:cstheme="minorEastAsia"/>
          <w:szCs w:val="22"/>
        </w:rPr>
        <w:t>年版中规定的方法进行检测。</w:t>
      </w:r>
    </w:p>
    <w:p w14:paraId="54C23F54">
      <w:pPr>
        <w:pStyle w:val="21"/>
        <w:spacing w:before="312" w:after="312"/>
        <w:rPr>
          <w:rFonts w:hint="eastAsia" w:hAnsi="黑体" w:cs="黑体"/>
          <w:kern w:val="2"/>
          <w:szCs w:val="21"/>
        </w:rPr>
      </w:pPr>
      <w:r>
        <w:rPr>
          <w:rFonts w:hint="eastAsia" w:hAnsi="黑体" w:cs="黑体"/>
          <w:kern w:val="2"/>
          <w:szCs w:val="21"/>
        </w:rPr>
        <w:t>7 检验规则</w:t>
      </w:r>
    </w:p>
    <w:p w14:paraId="3B044C03">
      <w:pPr>
        <w:pStyle w:val="21"/>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.1 </w:t>
      </w:r>
      <w:r>
        <w:rPr>
          <w:rFonts w:hint="eastAsia" w:hAnsi="黑体" w:cs="黑体"/>
          <w:kern w:val="2"/>
          <w:szCs w:val="21"/>
        </w:rPr>
        <w:t>出厂检验</w:t>
      </w:r>
    </w:p>
    <w:p w14:paraId="2EE4E868">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由生产厂质量检验部门取样检验。外观、气味、龙胆苦苷含量、菌落总数、霉菌和酵母菌总数为出厂检验项目。生产厂应保证每批出厂的产品都符合本文件的要求。每一批出厂的产品都应有一定格式的质量证书，内容包括出厂检验项目、产品名称、生产厂名称、生产日期和批号、净重、执行标准编号。</w:t>
      </w:r>
    </w:p>
    <w:p w14:paraId="1EB4A50A">
      <w:pPr>
        <w:pStyle w:val="21"/>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.2 </w:t>
      </w:r>
      <w:r>
        <w:rPr>
          <w:rFonts w:hint="eastAsia" w:hAnsi="黑体" w:cs="黑体"/>
          <w:kern w:val="2"/>
          <w:szCs w:val="21"/>
        </w:rPr>
        <w:t>型式检验</w:t>
      </w:r>
    </w:p>
    <w:p w14:paraId="132C4082">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型式检验每年不应少于1次。型式检验的项目为技术要求中的全部项目，有下列情况之一时，也应进行型式检验</w:t>
      </w:r>
    </w:p>
    <w:p w14:paraId="23B386D5">
      <w:pPr>
        <w:pStyle w:val="20"/>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当原料、工艺和设备发生重大改变时；</w:t>
      </w:r>
    </w:p>
    <w:p w14:paraId="3948576C">
      <w:pPr>
        <w:pStyle w:val="20"/>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产品首次投产或停产6个月以上恢复生产时；</w:t>
      </w:r>
    </w:p>
    <w:p w14:paraId="274E8CFF">
      <w:pPr>
        <w:pStyle w:val="20"/>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生产场所改变时；</w:t>
      </w:r>
    </w:p>
    <w:p w14:paraId="0B83E669">
      <w:pPr>
        <w:pStyle w:val="20"/>
        <w:numPr>
          <w:ilvl w:val="0"/>
          <w:numId w:val="2"/>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国家质量监督机构提出进行型式检验的要求。</w:t>
      </w:r>
    </w:p>
    <w:p w14:paraId="5E2B0077">
      <w:pPr>
        <w:pStyle w:val="21"/>
        <w:spacing w:before="312" w:after="312"/>
        <w:rPr>
          <w:rFonts w:hint="eastAsia" w:hAnsi="黑体" w:cs="黑体"/>
          <w:kern w:val="2"/>
          <w:szCs w:val="21"/>
        </w:rPr>
      </w:pPr>
      <w:r>
        <w:rPr>
          <w:rFonts w:hint="eastAsia" w:hAnsi="黑体" w:cs="黑体"/>
          <w:kern w:val="2"/>
          <w:szCs w:val="21"/>
        </w:rPr>
        <w:t xml:space="preserve">7.3 </w:t>
      </w:r>
      <w:r>
        <w:rPr>
          <w:rFonts w:hint="eastAsia" w:asciiTheme="minorEastAsia" w:hAnsiTheme="minorEastAsia" w:eastAsiaTheme="minorEastAsia" w:cstheme="minorEastAsia"/>
          <w:szCs w:val="22"/>
        </w:rPr>
        <w:t>检验结果若有1项不符合标准要求，应重新自双倍量的包装中取样进行复验，复验结果仍有1项指标不符合标准要求，即整批产品判定为不合格。</w:t>
      </w:r>
    </w:p>
    <w:p w14:paraId="32BDC985">
      <w:pPr>
        <w:pStyle w:val="21"/>
        <w:spacing w:before="312" w:after="312"/>
        <w:rPr>
          <w:rFonts w:hint="eastAsia" w:asciiTheme="minorEastAsia" w:hAnsiTheme="minorEastAsia" w:eastAsiaTheme="minorEastAsia" w:cstheme="minorEastAsia"/>
          <w:szCs w:val="22"/>
        </w:rPr>
      </w:pPr>
      <w:r>
        <w:rPr>
          <w:rFonts w:hint="eastAsia" w:hAnsi="黑体" w:cs="黑体"/>
          <w:kern w:val="2"/>
          <w:szCs w:val="21"/>
        </w:rPr>
        <w:t>7.4</w:t>
      </w:r>
      <w:r>
        <w:rPr>
          <w:rFonts w:hint="eastAsia" w:asciiTheme="minorEastAsia" w:hAnsiTheme="minorEastAsia" w:eastAsiaTheme="minorEastAsia" w:cstheme="minorEastAsia"/>
          <w:szCs w:val="22"/>
        </w:rPr>
        <w:t xml:space="preserve"> 采样按GB/T 6678和GB/T 6680中有关规定进行，对产品进行采样两份，密封包装，其中一份用于检验，一份用于留样。</w:t>
      </w:r>
    </w:p>
    <w:p w14:paraId="35E8C98F">
      <w:pPr>
        <w:pStyle w:val="21"/>
        <w:spacing w:before="312" w:after="312"/>
        <w:rPr>
          <w:rFonts w:hint="eastAsia" w:hAnsi="黑体" w:cs="黑体"/>
          <w:kern w:val="2"/>
          <w:szCs w:val="21"/>
        </w:rPr>
      </w:pPr>
      <w:r>
        <w:rPr>
          <w:rFonts w:hint="eastAsia" w:hAnsi="黑体" w:cs="黑体"/>
          <w:kern w:val="2"/>
          <w:szCs w:val="21"/>
        </w:rPr>
        <w:t xml:space="preserve">7.5 </w:t>
      </w:r>
      <w:r>
        <w:rPr>
          <w:rFonts w:hint="eastAsia" w:asciiTheme="minorEastAsia" w:hAnsiTheme="minorEastAsia" w:eastAsiaTheme="minorEastAsia" w:cstheme="minorEastAsia"/>
          <w:szCs w:val="22"/>
        </w:rPr>
        <w:t>检验结果的判定按GB/T 8170数值修约值比较法进行。</w:t>
      </w:r>
    </w:p>
    <w:p w14:paraId="3E894F69">
      <w:pPr>
        <w:pStyle w:val="21"/>
        <w:spacing w:before="312" w:after="312"/>
        <w:rPr>
          <w:rFonts w:hint="eastAsia" w:asciiTheme="minorEastAsia" w:hAnsiTheme="minorEastAsia" w:eastAsiaTheme="minorEastAsia" w:cstheme="minorEastAsia"/>
          <w:szCs w:val="22"/>
        </w:rPr>
      </w:pPr>
      <w:r>
        <w:rPr>
          <w:rFonts w:hint="eastAsia" w:hAnsi="黑体" w:cs="黑体"/>
          <w:kern w:val="2"/>
          <w:szCs w:val="21"/>
        </w:rPr>
        <w:t xml:space="preserve">7.6 </w:t>
      </w:r>
      <w:r>
        <w:rPr>
          <w:rFonts w:hint="eastAsia" w:asciiTheme="minorEastAsia" w:hAnsiTheme="minorEastAsia" w:eastAsiaTheme="minorEastAsia" w:cstheme="minorEastAsia"/>
          <w:szCs w:val="22"/>
        </w:rPr>
        <w:t>使用单位有权按照本文件的检验规则和试验方法对所收到的该产品进行验收，如有异议需在收到产品15天内向生产厂提出；当供需双方对产品质量发生异议时，由双方协商解决或请仲裁单位进行仲裁分析，仲裁分析时应按本文件规定的试验方法和检验规则进行。</w:t>
      </w:r>
    </w:p>
    <w:p w14:paraId="34B84E87">
      <w:pPr>
        <w:pStyle w:val="21"/>
        <w:spacing w:before="312" w:after="312"/>
        <w:rPr>
          <w:rFonts w:hint="eastAsia" w:hAnsi="黑体" w:cs="黑体"/>
          <w:kern w:val="2"/>
          <w:szCs w:val="21"/>
        </w:rPr>
      </w:pPr>
      <w:r>
        <w:rPr>
          <w:rFonts w:hint="eastAsia" w:hAnsi="黑体" w:cs="黑体"/>
          <w:kern w:val="2"/>
          <w:szCs w:val="21"/>
        </w:rPr>
        <w:t>8</w:t>
      </w:r>
      <w:r>
        <w:rPr>
          <w:rFonts w:hAnsi="黑体" w:cs="黑体"/>
          <w:kern w:val="2"/>
          <w:szCs w:val="21"/>
        </w:rPr>
        <w:t xml:space="preserve"> </w:t>
      </w:r>
      <w:r>
        <w:rPr>
          <w:rFonts w:hint="eastAsia" w:hAnsi="黑体" w:cs="黑体"/>
          <w:kern w:val="2"/>
          <w:szCs w:val="21"/>
        </w:rPr>
        <w:t>标志、包装、运输、贮存及保质期</w:t>
      </w:r>
    </w:p>
    <w:p w14:paraId="1DA973A7">
      <w:pPr>
        <w:pStyle w:val="21"/>
        <w:spacing w:before="312" w:after="312"/>
        <w:rPr>
          <w:rFonts w:hint="eastAsia" w:hAnsi="黑体" w:cs="黑体"/>
          <w:kern w:val="2"/>
          <w:szCs w:val="21"/>
        </w:rPr>
      </w:pPr>
      <w:r>
        <w:rPr>
          <w:rFonts w:hint="eastAsia" w:hAnsi="黑体" w:cs="黑体"/>
          <w:kern w:val="2"/>
          <w:szCs w:val="21"/>
        </w:rPr>
        <w:t>8.1标志</w:t>
      </w:r>
    </w:p>
    <w:p w14:paraId="08C682A5">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产品销售包装图示标志应按GB/T 191执行，标注内容为：产品名称、商标(如有)、保质期(用生产日期、保质期或生产批号、限期使用日期等方式组合表示)、生产者名称、地址、净含量、执行标准号以及根据产品特点所应标注的其他内容。</w:t>
      </w:r>
    </w:p>
    <w:p w14:paraId="428EB787">
      <w:pPr>
        <w:pStyle w:val="21"/>
        <w:spacing w:before="312" w:after="312"/>
        <w:rPr>
          <w:rFonts w:hint="eastAsia" w:hAnsi="黑体" w:cs="黑体"/>
          <w:kern w:val="2"/>
          <w:szCs w:val="21"/>
        </w:rPr>
      </w:pPr>
      <w:r>
        <w:rPr>
          <w:rFonts w:hint="eastAsia" w:hAnsi="黑体" w:cs="黑体"/>
          <w:kern w:val="2"/>
          <w:szCs w:val="21"/>
        </w:rPr>
        <w:t>8.2包装</w:t>
      </w:r>
    </w:p>
    <w:p w14:paraId="782389BC">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产品采用适宜包装，根据用户要求包装。</w:t>
      </w:r>
    </w:p>
    <w:p w14:paraId="0667ED62">
      <w:pPr>
        <w:pStyle w:val="21"/>
        <w:spacing w:before="312" w:after="312"/>
        <w:rPr>
          <w:rFonts w:hint="eastAsia" w:hAnsi="黑体" w:cs="黑体"/>
          <w:kern w:val="2"/>
          <w:szCs w:val="21"/>
        </w:rPr>
      </w:pPr>
      <w:r>
        <w:rPr>
          <w:rFonts w:hint="eastAsia" w:hAnsi="黑体" w:cs="黑体"/>
          <w:kern w:val="2"/>
          <w:szCs w:val="21"/>
        </w:rPr>
        <w:t>8.3运输</w:t>
      </w:r>
    </w:p>
    <w:p w14:paraId="5C0A7449">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本产品属于非危险品，任何运输工具可采用，在运输时应防火、防热、防雨淋、防受潮。</w:t>
      </w:r>
    </w:p>
    <w:p w14:paraId="181BEA64">
      <w:pPr>
        <w:pStyle w:val="21"/>
        <w:spacing w:before="312" w:after="312"/>
        <w:rPr>
          <w:rFonts w:hint="eastAsia" w:hAnsi="黑体" w:cs="黑体"/>
          <w:kern w:val="2"/>
          <w:szCs w:val="21"/>
        </w:rPr>
      </w:pPr>
      <w:r>
        <w:rPr>
          <w:rFonts w:hint="eastAsia" w:hAnsi="黑体" w:cs="黑体"/>
          <w:kern w:val="2"/>
          <w:szCs w:val="21"/>
        </w:rPr>
        <w:t>8.4贮存</w:t>
      </w:r>
    </w:p>
    <w:p w14:paraId="01FBB7F4">
      <w:pPr>
        <w:pStyle w:val="2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阴凉通风处、干燥密封保存。</w:t>
      </w:r>
    </w:p>
    <w:p w14:paraId="30CCB2E8">
      <w:pPr>
        <w:pStyle w:val="21"/>
        <w:spacing w:before="312" w:after="312"/>
        <w:rPr>
          <w:rFonts w:hint="eastAsia" w:hAnsi="黑体" w:cs="黑体"/>
          <w:kern w:val="2"/>
          <w:szCs w:val="21"/>
        </w:rPr>
      </w:pPr>
      <w:r>
        <w:rPr>
          <w:rFonts w:hint="eastAsia" w:hAnsi="黑体" w:cs="黑体"/>
          <w:kern w:val="2"/>
          <w:szCs w:val="21"/>
        </w:rPr>
        <w:t>8.5保质期</w:t>
      </w:r>
    </w:p>
    <w:p w14:paraId="1122685A">
      <w:pPr>
        <w:pStyle w:val="20"/>
        <w:rPr>
          <w:rFonts w:hint="eastAsia" w:asciiTheme="minorEastAsia" w:hAnsiTheme="minorEastAsia" w:eastAsiaTheme="minorEastAsia" w:cstheme="minorEastAsia"/>
          <w:szCs w:val="2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Cs w:val="22"/>
        </w:rPr>
        <w:t>在符合规定的运输和贮存条件下，产品在包装完整和未启封的情况下，保质期按销售包装标注执行。</w:t>
      </w:r>
    </w:p>
    <w:p w14:paraId="463C6C41">
      <w:pPr>
        <w:ind w:firstLine="420"/>
        <w:jc w:val="center"/>
        <w:rPr>
          <w:rFonts w:ascii="Times New Roman" w:hAnsi="Times New Roman" w:eastAsia="黑体"/>
        </w:rPr>
      </w:pPr>
      <w:r>
        <w:rPr>
          <w:rFonts w:ascii="Times New Roman" w:hAnsi="Times New Roman" w:eastAsia="黑体"/>
        </w:rPr>
        <w:t>附 录 A</w:t>
      </w:r>
    </w:p>
    <w:p w14:paraId="1711CE6F">
      <w:pPr>
        <w:ind w:firstLine="420"/>
        <w:jc w:val="center"/>
        <w:rPr>
          <w:rFonts w:ascii="Times New Roman" w:hAnsi="Times New Roman" w:eastAsia="黑体"/>
        </w:rPr>
      </w:pPr>
      <w:r>
        <w:rPr>
          <w:rFonts w:ascii="Times New Roman" w:hAnsi="Times New Roman" w:eastAsia="黑体"/>
        </w:rPr>
        <w:t>（资料性附录）</w:t>
      </w:r>
    </w:p>
    <w:p w14:paraId="6B7273D7">
      <w:pPr>
        <w:ind w:firstLine="420"/>
        <w:jc w:val="center"/>
        <w:rPr>
          <w:rFonts w:ascii="Times New Roman" w:hAnsi="Times New Roman" w:eastAsia="黑体"/>
        </w:rPr>
      </w:pPr>
      <w:r>
        <w:rPr>
          <w:rFonts w:hint="eastAsia" w:ascii="Times New Roman" w:hAnsi="Times New Roman" w:eastAsia="黑体"/>
        </w:rPr>
        <w:t>龙胆苦干</w:t>
      </w:r>
      <w:r>
        <w:rPr>
          <w:rFonts w:ascii="Times New Roman" w:hAnsi="Times New Roman" w:eastAsia="黑体"/>
        </w:rPr>
        <w:t>标准物质的液相色谱</w:t>
      </w:r>
      <w:r>
        <w:rPr>
          <w:rFonts w:hint="eastAsia" w:ascii="Times New Roman" w:hAnsi="Times New Roman" w:eastAsia="黑体"/>
        </w:rPr>
        <w:t>图谱</w:t>
      </w:r>
    </w:p>
    <w:p w14:paraId="2129437B">
      <w:pPr>
        <w:ind w:firstLine="420"/>
        <w:jc w:val="both"/>
        <w:rPr>
          <w:rFonts w:hint="eastAsia" w:asciiTheme="minorEastAsia" w:hAnsiTheme="minorEastAsia" w:cstheme="minorEastAsia"/>
          <w:kern w:val="0"/>
        </w:rPr>
      </w:pPr>
      <w:r>
        <w:rPr>
          <w:rFonts w:ascii="黑体" w:hAnsi="黑体" w:eastAsia="黑体" w:cs="黑体"/>
        </w:rPr>
        <w:t xml:space="preserve">A.1 </w:t>
      </w:r>
      <w:r>
        <w:rPr>
          <w:rFonts w:asciiTheme="minorEastAsia" w:hAnsiTheme="minorEastAsia" w:cstheme="minorEastAsia"/>
        </w:rPr>
        <w:t>龙胆苦苷标准物质液相色谱</w:t>
      </w:r>
      <w:r>
        <w:rPr>
          <w:rFonts w:hint="eastAsia" w:asciiTheme="minorEastAsia" w:hAnsiTheme="minorEastAsia" w:cstheme="minorEastAsia"/>
        </w:rPr>
        <w:t>图谱见图A.1。</w:t>
      </w:r>
    </w:p>
    <w:p w14:paraId="470E8047">
      <w:pPr>
        <w:ind w:firstLine="420"/>
        <w:jc w:val="center"/>
        <w:rPr>
          <w:rFonts w:ascii="Times New Roman" w:hAnsi="Times New Roman"/>
        </w:rPr>
      </w:pPr>
      <w:r>
        <w:rPr>
          <w:rFonts w:ascii="Times New Roman" w:hAnsi="Times New Roman"/>
        </w:rPr>
        <w:drawing>
          <wp:inline distT="0" distB="0" distL="0" distR="0">
            <wp:extent cx="5274310" cy="1423670"/>
            <wp:effectExtent l="0" t="0" r="2540" b="5080"/>
            <wp:docPr id="3" name="图片 3" descr="C:\Users\yuhaitao\AppData\Local\Temp\16062951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uhaitao\AppData\Local\Temp\160629514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1423709"/>
                    </a:xfrm>
                    <a:prstGeom prst="rect">
                      <a:avLst/>
                    </a:prstGeom>
                    <a:noFill/>
                    <a:ln>
                      <a:noFill/>
                    </a:ln>
                  </pic:spPr>
                </pic:pic>
              </a:graphicData>
            </a:graphic>
          </wp:inline>
        </w:drawing>
      </w:r>
    </w:p>
    <w:p w14:paraId="125BFF49">
      <w:pPr>
        <w:ind w:firstLine="420"/>
        <w:jc w:val="center"/>
        <w:rPr>
          <w:rFonts w:hint="eastAsia" w:ascii="黑体" w:hAnsi="黑体" w:eastAsia="黑体" w:cs="黑体"/>
          <w:kern w:val="0"/>
          <w:szCs w:val="20"/>
        </w:rPr>
      </w:pPr>
      <w:r>
        <w:rPr>
          <w:rFonts w:hint="eastAsia" w:ascii="黑体" w:hAnsi="黑体" w:eastAsia="黑体" w:cs="黑体"/>
          <w:kern w:val="0"/>
          <w:szCs w:val="20"/>
        </w:rPr>
        <w:t>图</w:t>
      </w:r>
      <w:r>
        <w:rPr>
          <w:rFonts w:ascii="黑体" w:hAnsi="黑体" w:eastAsia="黑体" w:cs="黑体"/>
          <w:kern w:val="0"/>
          <w:szCs w:val="20"/>
        </w:rPr>
        <w:t xml:space="preserve">A.1 </w:t>
      </w:r>
      <w:r>
        <w:rPr>
          <w:rFonts w:hint="eastAsia" w:ascii="黑体" w:hAnsi="黑体" w:eastAsia="黑体" w:cs="黑体"/>
          <w:kern w:val="0"/>
          <w:szCs w:val="20"/>
        </w:rPr>
        <w:t>龙胆苦苷标准物质的液相色谱图谱</w:t>
      </w:r>
    </w:p>
    <w:p w14:paraId="4415AA13">
      <w:pPr>
        <w:pStyle w:val="22"/>
        <w:framePr w:hSpace="0" w:vSpace="0" w:wrap="auto" w:vAnchor="margin" w:hAnchor="text" w:xAlign="left" w:yAlign="inline"/>
        <w:ind w:firstLine="420"/>
        <w:rPr>
          <w:rFonts w:hint="eastAsia" w:hAnsi="黑体" w:cs="黑体"/>
          <w:szCs w:val="21"/>
        </w:rPr>
      </w:pPr>
      <w:r>
        <w:rPr>
          <w:rFonts w:hint="eastAsia" w:hAnsi="黑体" w:cs="黑体"/>
          <w:szCs w:val="21"/>
        </w:rPr>
        <w:t xml:space="preserve">                  </w:t>
      </w:r>
    </w:p>
    <w:p w14:paraId="437B7F0B">
      <w:pPr>
        <w:pStyle w:val="22"/>
        <w:framePr w:hSpace="0" w:vSpace="0" w:wrap="auto" w:vAnchor="margin" w:hAnchor="text" w:xAlign="left" w:yAlign="inline"/>
        <w:ind w:firstLine="420"/>
        <w:rPr>
          <w:rFonts w:hint="eastAsia" w:hAnsi="黑体" w:cs="黑体"/>
          <w:szCs w:val="21"/>
        </w:rPr>
      </w:pPr>
    </w:p>
    <w:p w14:paraId="6134B313">
      <w:pPr>
        <w:pStyle w:val="22"/>
        <w:framePr w:hSpace="0" w:vSpace="0" w:wrap="auto" w:vAnchor="margin" w:hAnchor="text" w:xAlign="left" w:yAlign="inline"/>
        <w:ind w:firstLine="420"/>
        <w:rPr>
          <w:rFonts w:hint="eastAsia" w:hAnsi="黑体" w:cs="黑体"/>
          <w:szCs w:val="21"/>
        </w:rPr>
      </w:pPr>
    </w:p>
    <w:p w14:paraId="10FA619D">
      <w:pPr>
        <w:pStyle w:val="22"/>
        <w:framePr w:hSpace="0" w:vSpace="0" w:wrap="auto" w:vAnchor="margin" w:hAnchor="text" w:xAlign="left" w:yAlign="inline"/>
        <w:ind w:firstLine="420"/>
        <w:rPr>
          <w:rFonts w:hint="eastAsia" w:hAnsi="黑体" w:cs="黑体"/>
          <w:szCs w:val="21"/>
        </w:rPr>
      </w:pPr>
    </w:p>
    <w:p w14:paraId="677A825E">
      <w:pPr>
        <w:pStyle w:val="22"/>
        <w:framePr w:hSpace="0" w:vSpace="0" w:wrap="auto" w:vAnchor="margin" w:hAnchor="text" w:xAlign="left" w:yAlign="inline"/>
        <w:ind w:firstLine="420"/>
        <w:rPr>
          <w:rFonts w:hint="eastAsia" w:hAnsi="黑体" w:cs="黑体"/>
          <w:szCs w:val="21"/>
        </w:rPr>
      </w:pPr>
    </w:p>
    <w:p w14:paraId="5CBC275F">
      <w:pPr>
        <w:pStyle w:val="22"/>
        <w:framePr w:hSpace="0" w:vSpace="0" w:wrap="auto" w:vAnchor="margin" w:hAnchor="text" w:xAlign="left" w:yAlign="inline"/>
        <w:ind w:firstLine="420"/>
        <w:rPr>
          <w:rFonts w:hint="eastAsia" w:hAnsi="黑体" w:cs="黑体"/>
          <w:szCs w:val="21"/>
        </w:rPr>
      </w:pPr>
    </w:p>
    <w:p w14:paraId="34E5E964">
      <w:pPr>
        <w:pStyle w:val="22"/>
        <w:framePr w:hSpace="0" w:vSpace="0" w:wrap="auto" w:vAnchor="margin" w:hAnchor="text" w:xAlign="left" w:yAlign="inline"/>
        <w:ind w:firstLine="420"/>
        <w:rPr>
          <w:rFonts w:hint="eastAsia" w:hAnsi="黑体" w:cs="黑体"/>
          <w:szCs w:val="21"/>
        </w:rPr>
      </w:pPr>
    </w:p>
    <w:p w14:paraId="4C318FA0">
      <w:pPr>
        <w:pStyle w:val="22"/>
        <w:framePr w:hSpace="0" w:vSpace="0" w:wrap="auto" w:vAnchor="margin" w:hAnchor="text" w:xAlign="left" w:yAlign="inline"/>
        <w:ind w:firstLine="420"/>
        <w:rPr>
          <w:rFonts w:hint="eastAsia" w:hAnsi="黑体" w:cs="黑体"/>
          <w:szCs w:val="21"/>
        </w:rPr>
      </w:pPr>
    </w:p>
    <w:p w14:paraId="1CF74278">
      <w:pPr>
        <w:pStyle w:val="22"/>
        <w:framePr w:hSpace="0" w:vSpace="0" w:wrap="auto" w:vAnchor="margin" w:hAnchor="text" w:xAlign="left" w:yAlign="inline"/>
        <w:ind w:firstLine="420"/>
        <w:rPr>
          <w:rFonts w:hint="eastAsia" w:hAnsi="黑体" w:cs="黑体"/>
          <w:szCs w:val="21"/>
        </w:rPr>
      </w:pPr>
    </w:p>
    <w:p w14:paraId="7BD40145">
      <w:pPr>
        <w:pStyle w:val="22"/>
        <w:framePr w:hSpace="0" w:vSpace="0" w:wrap="auto" w:vAnchor="margin" w:hAnchor="text" w:xAlign="left" w:yAlign="inline"/>
        <w:ind w:firstLine="420"/>
        <w:rPr>
          <w:rFonts w:hint="eastAsia" w:hAnsi="黑体" w:cs="黑体"/>
          <w:szCs w:val="21"/>
        </w:rPr>
      </w:pPr>
    </w:p>
    <w:p w14:paraId="68B59587">
      <w:pPr>
        <w:pStyle w:val="22"/>
        <w:framePr w:hSpace="0" w:vSpace="0" w:wrap="auto" w:vAnchor="margin" w:hAnchor="text" w:xAlign="left" w:yAlign="inline"/>
        <w:ind w:firstLine="420"/>
        <w:rPr>
          <w:rFonts w:hint="eastAsia" w:hAnsi="黑体" w:cs="黑体"/>
          <w:szCs w:val="21"/>
        </w:rPr>
      </w:pPr>
    </w:p>
    <w:p w14:paraId="3B8C47E1">
      <w:pPr>
        <w:pStyle w:val="22"/>
        <w:framePr w:hSpace="0" w:vSpace="0" w:wrap="auto" w:vAnchor="margin" w:hAnchor="text" w:xAlign="left" w:yAlign="inline"/>
        <w:ind w:firstLine="420"/>
        <w:rPr>
          <w:rFonts w:hint="eastAsia" w:hAnsi="黑体" w:cs="黑体"/>
          <w:szCs w:val="21"/>
        </w:rPr>
      </w:pPr>
    </w:p>
    <w:p w14:paraId="1EB816A4">
      <w:pPr>
        <w:pStyle w:val="22"/>
        <w:framePr w:hSpace="0" w:vSpace="0" w:wrap="auto" w:vAnchor="margin" w:hAnchor="text" w:xAlign="left" w:yAlign="inline"/>
        <w:ind w:firstLine="420"/>
        <w:rPr>
          <w:rFonts w:hint="eastAsia" w:hAnsi="黑体" w:cs="黑体"/>
          <w:szCs w:val="21"/>
        </w:rPr>
      </w:pPr>
    </w:p>
    <w:p w14:paraId="76F0A7D3">
      <w:pPr>
        <w:pStyle w:val="22"/>
        <w:framePr w:hSpace="0" w:vSpace="0" w:wrap="auto" w:vAnchor="margin" w:hAnchor="text" w:xAlign="left" w:yAlign="inline"/>
        <w:ind w:firstLine="420"/>
        <w:rPr>
          <w:rFonts w:hint="eastAsia" w:hAnsi="黑体" w:cs="黑体"/>
          <w:szCs w:val="21"/>
        </w:rPr>
      </w:pPr>
    </w:p>
    <w:p w14:paraId="27D79825">
      <w:pPr>
        <w:pStyle w:val="22"/>
        <w:framePr w:hSpace="0" w:vSpace="0" w:wrap="auto" w:vAnchor="margin" w:hAnchor="text" w:xAlign="left" w:yAlign="inline"/>
        <w:ind w:firstLine="420"/>
        <w:rPr>
          <w:rFonts w:hint="eastAsia" w:hAnsi="黑体" w:cs="黑体"/>
          <w:szCs w:val="21"/>
        </w:rPr>
      </w:pPr>
    </w:p>
    <w:p w14:paraId="77162F91">
      <w:pPr>
        <w:pStyle w:val="22"/>
        <w:framePr w:hSpace="0" w:vSpace="0" w:wrap="auto" w:vAnchor="margin" w:hAnchor="text" w:xAlign="left" w:yAlign="inline"/>
        <w:ind w:firstLine="420"/>
        <w:rPr>
          <w:rFonts w:hint="eastAsia" w:hAnsi="黑体" w:cs="黑体"/>
          <w:szCs w:val="21"/>
        </w:rPr>
      </w:pPr>
    </w:p>
    <w:p w14:paraId="6DFF744A">
      <w:pPr>
        <w:pStyle w:val="22"/>
        <w:framePr w:hSpace="0" w:vSpace="0" w:wrap="auto" w:vAnchor="margin" w:hAnchor="text" w:xAlign="left" w:yAlign="inline"/>
        <w:ind w:firstLine="420"/>
        <w:rPr>
          <w:rFonts w:hint="eastAsia" w:hAnsi="黑体" w:cs="黑体"/>
          <w:szCs w:val="21"/>
        </w:rPr>
      </w:pPr>
    </w:p>
    <w:p w14:paraId="06DC47E5">
      <w:pPr>
        <w:pStyle w:val="22"/>
        <w:framePr w:hSpace="0" w:vSpace="0" w:wrap="auto" w:vAnchor="margin" w:hAnchor="text" w:xAlign="left" w:yAlign="inline"/>
        <w:ind w:firstLine="420"/>
        <w:rPr>
          <w:rFonts w:hint="eastAsia" w:hAnsi="黑体" w:cs="黑体"/>
          <w:szCs w:val="21"/>
        </w:rPr>
      </w:pPr>
    </w:p>
    <w:p w14:paraId="490C7B49">
      <w:pPr>
        <w:pStyle w:val="22"/>
        <w:framePr w:hSpace="0" w:vSpace="0" w:wrap="auto" w:vAnchor="margin" w:hAnchor="text" w:xAlign="left" w:yAlign="inline"/>
        <w:ind w:firstLine="420"/>
        <w:rPr>
          <w:rFonts w:hint="eastAsia" w:hAnsi="黑体" w:cs="黑体"/>
          <w:szCs w:val="21"/>
        </w:rPr>
      </w:pPr>
    </w:p>
    <w:p w14:paraId="17C992A8">
      <w:pPr>
        <w:pStyle w:val="22"/>
        <w:framePr w:hSpace="0" w:vSpace="0" w:wrap="auto" w:vAnchor="margin" w:hAnchor="text" w:xAlign="left" w:yAlign="inline"/>
        <w:ind w:firstLine="420"/>
        <w:rPr>
          <w:rFonts w:hint="eastAsia" w:hAnsi="黑体" w:cs="黑体"/>
          <w:szCs w:val="21"/>
        </w:rPr>
      </w:pPr>
    </w:p>
    <w:p w14:paraId="309D4DAD">
      <w:pPr>
        <w:pStyle w:val="22"/>
        <w:framePr w:hSpace="0" w:vSpace="0" w:wrap="auto" w:vAnchor="margin" w:hAnchor="text" w:xAlign="left" w:yAlign="inline"/>
        <w:ind w:firstLine="420"/>
        <w:rPr>
          <w:rFonts w:hint="eastAsia" w:hAnsi="黑体" w:cs="黑体"/>
          <w:szCs w:val="21"/>
        </w:rPr>
      </w:pPr>
    </w:p>
    <w:p w14:paraId="2E3E4707">
      <w:pPr>
        <w:pStyle w:val="22"/>
        <w:framePr w:hSpace="0" w:vSpace="0" w:wrap="auto" w:vAnchor="margin" w:hAnchor="text" w:xAlign="left" w:yAlign="inline"/>
        <w:ind w:firstLine="420"/>
        <w:rPr>
          <w:rFonts w:hint="eastAsia" w:hAnsi="黑体" w:cs="黑体"/>
          <w:szCs w:val="21"/>
        </w:rPr>
      </w:pPr>
    </w:p>
    <w:p w14:paraId="69C69699">
      <w:pPr>
        <w:pStyle w:val="22"/>
        <w:framePr w:hSpace="0" w:vSpace="0" w:wrap="auto" w:vAnchor="margin" w:hAnchor="text" w:xAlign="left" w:yAlign="inline"/>
        <w:ind w:firstLine="420"/>
        <w:rPr>
          <w:rFonts w:hint="eastAsia" w:hAnsi="黑体" w:cs="黑体"/>
          <w:szCs w:val="21"/>
        </w:rPr>
      </w:pPr>
    </w:p>
    <w:p w14:paraId="6B80CD80">
      <w:pPr>
        <w:pStyle w:val="22"/>
        <w:framePr w:hSpace="0" w:vSpace="0" w:wrap="auto" w:vAnchor="margin" w:hAnchor="text" w:xAlign="left" w:yAlign="inline"/>
        <w:ind w:firstLine="420"/>
        <w:rPr>
          <w:rFonts w:hint="eastAsia" w:hAnsi="黑体" w:cs="黑体"/>
          <w:szCs w:val="21"/>
        </w:rPr>
      </w:pPr>
    </w:p>
    <w:p w14:paraId="38F16405">
      <w:pPr>
        <w:pStyle w:val="22"/>
        <w:framePr w:hSpace="0" w:vSpace="0" w:wrap="auto" w:vAnchor="margin" w:hAnchor="text" w:xAlign="left" w:yAlign="inline"/>
        <w:ind w:firstLine="420"/>
        <w:rPr>
          <w:rFonts w:hint="eastAsia" w:hAnsi="黑体" w:cs="黑体"/>
          <w:szCs w:val="21"/>
        </w:rPr>
      </w:pPr>
    </w:p>
    <w:p w14:paraId="69C877A1">
      <w:pPr>
        <w:pStyle w:val="22"/>
        <w:framePr w:hSpace="0" w:vSpace="0" w:wrap="auto" w:vAnchor="margin" w:hAnchor="text" w:xAlign="left" w:yAlign="inline"/>
        <w:ind w:firstLine="420"/>
        <w:rPr>
          <w:rFonts w:hint="eastAsia" w:hAnsi="黑体" w:cs="黑体"/>
          <w:szCs w:val="21"/>
        </w:rPr>
      </w:pPr>
    </w:p>
    <w:p w14:paraId="601D71E1">
      <w:pPr>
        <w:pStyle w:val="22"/>
        <w:framePr w:hSpace="0" w:vSpace="0" w:wrap="auto" w:vAnchor="margin" w:hAnchor="text" w:xAlign="left" w:yAlign="inline"/>
        <w:ind w:firstLine="420"/>
        <w:rPr>
          <w:rFonts w:hint="eastAsia" w:hAnsi="黑体" w:cs="黑体"/>
          <w:szCs w:val="21"/>
        </w:rPr>
      </w:pPr>
    </w:p>
    <w:p w14:paraId="262CBEB0">
      <w:pPr>
        <w:pStyle w:val="22"/>
        <w:framePr w:hSpace="0" w:vSpace="0" w:wrap="auto" w:vAnchor="margin" w:hAnchor="text" w:xAlign="left" w:yAlign="inline"/>
        <w:ind w:firstLine="420"/>
        <w:rPr>
          <w:rFonts w:hint="eastAsia" w:hAnsi="黑体" w:cs="黑体"/>
          <w:szCs w:val="21"/>
        </w:rPr>
      </w:pPr>
    </w:p>
    <w:p w14:paraId="180ACF9A">
      <w:pPr>
        <w:pStyle w:val="22"/>
        <w:framePr w:hSpace="0" w:vSpace="0" w:wrap="auto" w:vAnchor="margin" w:hAnchor="text" w:xAlign="left" w:yAlign="inline"/>
        <w:ind w:firstLine="420"/>
        <w:rPr>
          <w:rFonts w:hint="eastAsia" w:hAnsi="黑体" w:cs="黑体"/>
          <w:szCs w:val="21"/>
        </w:rPr>
      </w:pPr>
    </w:p>
    <w:p w14:paraId="5557A048">
      <w:pPr>
        <w:pStyle w:val="22"/>
        <w:framePr w:hSpace="0" w:vSpace="0" w:wrap="auto" w:vAnchor="margin" w:hAnchor="text" w:xAlign="left" w:yAlign="inline"/>
        <w:ind w:firstLine="420"/>
        <w:rPr>
          <w:rFonts w:hint="eastAsia" w:hAnsi="黑体" w:cs="黑体"/>
          <w:szCs w:val="21"/>
        </w:rPr>
      </w:pPr>
    </w:p>
    <w:p w14:paraId="5A8DD591">
      <w:pPr>
        <w:pStyle w:val="22"/>
        <w:framePr w:hSpace="0" w:vSpace="0" w:wrap="auto" w:vAnchor="margin" w:hAnchor="text" w:xAlign="left" w:yAlign="inline"/>
        <w:ind w:firstLine="420"/>
        <w:rPr>
          <w:rFonts w:hint="eastAsia" w:hAnsi="黑体" w:cs="黑体"/>
          <w:szCs w:val="21"/>
        </w:rPr>
      </w:pPr>
    </w:p>
    <w:p w14:paraId="27D1A7A5">
      <w:pPr>
        <w:pStyle w:val="20"/>
        <w:ind w:firstLine="0" w:firstLineChars="0"/>
        <w:jc w:val="center"/>
        <w:rPr>
          <w:rFonts w:hint="eastAsia" w:ascii="黑体" w:hAnsi="黑体" w:eastAsia="黑体" w:cs="黑体"/>
        </w:rPr>
      </w:pPr>
      <w:r>
        <w:rPr>
          <w:rFonts w:hint="eastAsia" w:ascii="黑体" w:hAnsi="黑体" w:eastAsia="黑体" w:cs="黑体"/>
        </w:rPr>
        <w:t>参考文献</w:t>
      </w:r>
    </w:p>
    <w:p w14:paraId="34476E23">
      <w:pPr>
        <w:pStyle w:val="20"/>
        <w:ind w:firstLine="0" w:firstLineChars="0"/>
        <w:jc w:val="center"/>
        <w:rPr>
          <w:rFonts w:hint="eastAsia" w:ascii="黑体" w:hAnsi="黑体" w:eastAsia="黑体" w:cs="黑体"/>
        </w:rPr>
      </w:pPr>
    </w:p>
    <w:p w14:paraId="72932E57">
      <w:pPr>
        <w:pStyle w:val="20"/>
        <w:rPr>
          <w:rFonts w:hint="eastAsia" w:hAnsi="宋体" w:cs="宋体"/>
          <w:szCs w:val="21"/>
        </w:rPr>
      </w:pPr>
      <w:r>
        <w:rPr>
          <w:rFonts w:hint="eastAsia"/>
        </w:rPr>
        <w:t>[1]</w:t>
      </w:r>
      <w:r>
        <w:rPr>
          <w:rFonts w:hint="eastAsia" w:hAnsi="宋体" w:cs="宋体"/>
          <w:szCs w:val="21"/>
        </w:rPr>
        <w:t>《化妆品安全技术规范》（2015年版）（国家食品药品监督管理总局公告 2015 年第 268 号）</w:t>
      </w:r>
    </w:p>
    <w:p w14:paraId="3F6B6714">
      <w:pPr>
        <w:pStyle w:val="20"/>
      </w:pPr>
      <w:r>
        <w:rPr>
          <w:rFonts w:hint="eastAsia" w:hAnsi="宋体" w:cs="宋体"/>
          <w:szCs w:val="21"/>
        </w:rPr>
        <w:t>[2]《中华人民共和国药典》（2020年版）</w:t>
      </w:r>
    </w:p>
    <w:p w14:paraId="1519792C">
      <w:pPr>
        <w:pStyle w:val="20"/>
        <w:framePr w:w="3105" w:hSpace="181" w:vSpace="181" w:wrap="around" w:vAnchor="text" w:hAnchor="page" w:x="4560" w:y="400"/>
        <w:jc w:val="center"/>
        <w:rPr>
          <w:rFonts w:ascii="Times New Roman"/>
        </w:rPr>
      </w:pPr>
    </w:p>
    <w:p w14:paraId="7A7F1C7B">
      <w:pPr>
        <w:framePr w:w="3105" w:hSpace="181" w:vSpace="181" w:wrap="around" w:vAnchor="text" w:hAnchor="page" w:x="4560" w:y="400"/>
        <w:ind w:firstLine="420"/>
        <w:jc w:val="center"/>
        <w:rPr>
          <w:kern w:val="0"/>
          <w:szCs w:val="20"/>
        </w:rPr>
      </w:pPr>
      <w:r>
        <w:t>________________________</w:t>
      </w:r>
    </w:p>
    <w:p w14:paraId="3B03CBB7">
      <w:pPr>
        <w:pStyle w:val="22"/>
        <w:framePr w:hSpace="0" w:vSpace="0" w:wrap="auto" w:vAnchor="margin" w:hAnchor="text" w:xAlign="left" w:yAlign="inline"/>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6BCB">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7C4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63DA">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27D8">
    <w:pPr>
      <w:pStyle w:val="19"/>
      <w:jc w:val="both"/>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911215" cy="147955"/>
              <wp:effectExtent l="0" t="0" r="13335" b="0"/>
              <wp:wrapNone/>
              <wp:docPr id="12" name="文本框 12"/>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0EE1E33E">
                          <w:pPr>
                            <w:pStyle w:val="4"/>
                            <w:ind w:firstLine="360"/>
                            <w:rPr>
                              <w:rFonts w:hint="eastAsia" w:ascii="仿宋" w:hAnsi="仿宋" w:eastAsia="仿宋" w:cs="仿宋"/>
                            </w:rPr>
                          </w:pPr>
                          <w:r>
                            <w:rPr>
                              <w:rFonts w:hint="eastAsia" w:ascii="仿宋" w:hAnsi="仿宋" w:eastAsia="仿宋" w:cs="仿宋"/>
                            </w:rPr>
                            <w:t>Ⅰ</w:t>
                          </w:r>
                        </w:p>
                      </w:txbxContent>
                    </wps:txbx>
                    <wps:bodyPr wrap="square" lIns="0" tIns="0" rIns="0" bIns="0">
                      <a:spAutoFit/>
                    </wps:bodyPr>
                  </wps:wsp>
                </a:graphicData>
              </a:graphic>
            </wp:anchor>
          </w:drawing>
        </mc:Choice>
        <mc:Fallback>
          <w:pict>
            <v:shape id="_x0000_s1026" o:spid="_x0000_s1026" o:spt="202" type="#_x0000_t202" style="position:absolute;left:0pt;margin-top:0pt;height:11.65pt;width:465.45pt;mso-position-horizontal:left;mso-position-horizontal-relative:margin;z-index:251659264;mso-width-relative:page;mso-height-relative:page;" filled="f" stroked="f" coordsize="21600,21600" o:gfxdata="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aOp/jTAAAABAEAAA8AAAAAAAAAAQAgAAAA&#10;IgAAAGRycy9kb3ducmV2LnhtbFBLAQIUABQAAAAIAIdO4kCDUFqk1wEAAKcDAAAOAAAAAAAAAAEA&#10;IAAAACIBAABkcnMvZTJvRG9jLnhtbFBLBQYAAAAABgAGAFkBAABrBQAAAAA=&#10;">
              <v:fill on="f" focussize="0,0"/>
              <v:stroke on="f"/>
              <v:imagedata o:title=""/>
              <o:lock v:ext="edit" aspectratio="f"/>
              <v:textbox inset="0mm,0mm,0mm,0mm" style="mso-fit-shape-to-text:t;">
                <w:txbxContent>
                  <w:p w14:paraId="0EE1E33E">
                    <w:pPr>
                      <w:pStyle w:val="4"/>
                      <w:ind w:firstLine="360"/>
                      <w:rPr>
                        <w:rFonts w:hint="eastAsia" w:ascii="仿宋" w:hAnsi="仿宋" w:eastAsia="仿宋" w:cs="仿宋"/>
                      </w:rPr>
                    </w:pPr>
                    <w:r>
                      <w:rPr>
                        <w:rFonts w:hint="eastAsia" w:ascii="仿宋" w:hAnsi="仿宋" w:eastAsia="仿宋" w:cs="仿宋"/>
                      </w:rPr>
                      <w:t>Ⅰ</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10AA">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C1B8">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4B77">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0A87">
    <w:pPr>
      <w:pStyle w:val="18"/>
    </w:pPr>
    <w:r>
      <w:rPr>
        <w:rFonts w:hint="eastAsia" w:ascii="Times New Roman"/>
      </w:rPr>
      <w:t>T</w:t>
    </w:r>
    <w:r>
      <w:rPr>
        <w:rFonts w:ascii="Times New Roman"/>
      </w:rPr>
      <w:t>/</w:t>
    </w:r>
    <w:r>
      <w:rPr>
        <w:rFonts w:hint="eastAsia" w:hAnsi="黑体"/>
      </w:rPr>
      <w:t>CAFFCI</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5D766"/>
    <w:multiLevelType w:val="singleLevel"/>
    <w:tmpl w:val="80F5D766"/>
    <w:lvl w:ilvl="0" w:tentative="0">
      <w:start w:val="1"/>
      <w:numFmt w:val="lowerLetter"/>
      <w:suff w:val="space"/>
      <w:lvlText w:val="%1）"/>
      <w:lvlJc w:val="left"/>
    </w:lvl>
  </w:abstractNum>
  <w:abstractNum w:abstractNumId="1">
    <w:nsid w:val="40A57276"/>
    <w:multiLevelType w:val="singleLevel"/>
    <w:tmpl w:val="40A57276"/>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s>
  <w:rsids>
    <w:rsidRoot w:val="00AA06FF"/>
    <w:rsid w:val="00001F5F"/>
    <w:rsid w:val="000038B7"/>
    <w:rsid w:val="00020B3B"/>
    <w:rsid w:val="0004735F"/>
    <w:rsid w:val="00067C47"/>
    <w:rsid w:val="00084469"/>
    <w:rsid w:val="000847AC"/>
    <w:rsid w:val="000A5885"/>
    <w:rsid w:val="000D50D3"/>
    <w:rsid w:val="000E714C"/>
    <w:rsid w:val="000F7853"/>
    <w:rsid w:val="00106C2D"/>
    <w:rsid w:val="001114B4"/>
    <w:rsid w:val="00116773"/>
    <w:rsid w:val="0014638D"/>
    <w:rsid w:val="00150438"/>
    <w:rsid w:val="001629E7"/>
    <w:rsid w:val="001633E9"/>
    <w:rsid w:val="00166723"/>
    <w:rsid w:val="00187305"/>
    <w:rsid w:val="001931BF"/>
    <w:rsid w:val="001A0F6C"/>
    <w:rsid w:val="001A6C18"/>
    <w:rsid w:val="001B4FD3"/>
    <w:rsid w:val="001C681A"/>
    <w:rsid w:val="001C698A"/>
    <w:rsid w:val="001D00A7"/>
    <w:rsid w:val="001E2AEF"/>
    <w:rsid w:val="001E2F0C"/>
    <w:rsid w:val="001F70F5"/>
    <w:rsid w:val="0020308B"/>
    <w:rsid w:val="00244629"/>
    <w:rsid w:val="002639E8"/>
    <w:rsid w:val="00265846"/>
    <w:rsid w:val="002812B5"/>
    <w:rsid w:val="00291DE4"/>
    <w:rsid w:val="002953E5"/>
    <w:rsid w:val="002A40D1"/>
    <w:rsid w:val="002B7A8C"/>
    <w:rsid w:val="00307154"/>
    <w:rsid w:val="00317BD9"/>
    <w:rsid w:val="00360D63"/>
    <w:rsid w:val="00365C4F"/>
    <w:rsid w:val="00373496"/>
    <w:rsid w:val="0038415E"/>
    <w:rsid w:val="0039301C"/>
    <w:rsid w:val="00395B29"/>
    <w:rsid w:val="003B3C6E"/>
    <w:rsid w:val="003B7440"/>
    <w:rsid w:val="003D36BF"/>
    <w:rsid w:val="003E748A"/>
    <w:rsid w:val="003E77A1"/>
    <w:rsid w:val="003F7065"/>
    <w:rsid w:val="00400BBE"/>
    <w:rsid w:val="00400C7E"/>
    <w:rsid w:val="00414C94"/>
    <w:rsid w:val="00422946"/>
    <w:rsid w:val="004236FB"/>
    <w:rsid w:val="004431CF"/>
    <w:rsid w:val="00445F27"/>
    <w:rsid w:val="0045381F"/>
    <w:rsid w:val="004609E6"/>
    <w:rsid w:val="004813DA"/>
    <w:rsid w:val="00484BC0"/>
    <w:rsid w:val="004A77D9"/>
    <w:rsid w:val="004C4052"/>
    <w:rsid w:val="004E4707"/>
    <w:rsid w:val="004F558B"/>
    <w:rsid w:val="0050716E"/>
    <w:rsid w:val="00522134"/>
    <w:rsid w:val="00530175"/>
    <w:rsid w:val="005363B3"/>
    <w:rsid w:val="00545E38"/>
    <w:rsid w:val="0055174A"/>
    <w:rsid w:val="00551F9F"/>
    <w:rsid w:val="00554551"/>
    <w:rsid w:val="00572350"/>
    <w:rsid w:val="00577A26"/>
    <w:rsid w:val="00591FF2"/>
    <w:rsid w:val="0059237E"/>
    <w:rsid w:val="0059438D"/>
    <w:rsid w:val="005A0674"/>
    <w:rsid w:val="005B3D76"/>
    <w:rsid w:val="005C5E9E"/>
    <w:rsid w:val="005C7375"/>
    <w:rsid w:val="005D5412"/>
    <w:rsid w:val="005E32E1"/>
    <w:rsid w:val="005E3A9E"/>
    <w:rsid w:val="005F7F1C"/>
    <w:rsid w:val="00601246"/>
    <w:rsid w:val="00606CF4"/>
    <w:rsid w:val="006219D0"/>
    <w:rsid w:val="0062650A"/>
    <w:rsid w:val="00644F07"/>
    <w:rsid w:val="00652F95"/>
    <w:rsid w:val="006A042B"/>
    <w:rsid w:val="006A66F6"/>
    <w:rsid w:val="006C08A2"/>
    <w:rsid w:val="006C7BB8"/>
    <w:rsid w:val="006D30F3"/>
    <w:rsid w:val="006D4AF4"/>
    <w:rsid w:val="007001F5"/>
    <w:rsid w:val="007102A8"/>
    <w:rsid w:val="00710E91"/>
    <w:rsid w:val="007260EA"/>
    <w:rsid w:val="0074162B"/>
    <w:rsid w:val="00742C3A"/>
    <w:rsid w:val="00747C97"/>
    <w:rsid w:val="007717BC"/>
    <w:rsid w:val="0077687E"/>
    <w:rsid w:val="007B5151"/>
    <w:rsid w:val="007D1E7E"/>
    <w:rsid w:val="007D3724"/>
    <w:rsid w:val="007F7B3F"/>
    <w:rsid w:val="008007F9"/>
    <w:rsid w:val="00806342"/>
    <w:rsid w:val="00806EE5"/>
    <w:rsid w:val="008115CB"/>
    <w:rsid w:val="008179AA"/>
    <w:rsid w:val="00821A48"/>
    <w:rsid w:val="00832BD5"/>
    <w:rsid w:val="008342C6"/>
    <w:rsid w:val="00835429"/>
    <w:rsid w:val="008354AC"/>
    <w:rsid w:val="00842F25"/>
    <w:rsid w:val="00854A64"/>
    <w:rsid w:val="008575C9"/>
    <w:rsid w:val="008735F2"/>
    <w:rsid w:val="00873A0B"/>
    <w:rsid w:val="008B52E7"/>
    <w:rsid w:val="008C50FE"/>
    <w:rsid w:val="008C5BED"/>
    <w:rsid w:val="008D0E1F"/>
    <w:rsid w:val="008E5BF8"/>
    <w:rsid w:val="008F00E8"/>
    <w:rsid w:val="008F08E1"/>
    <w:rsid w:val="008F2DE5"/>
    <w:rsid w:val="00907104"/>
    <w:rsid w:val="009108CF"/>
    <w:rsid w:val="00935044"/>
    <w:rsid w:val="009471C3"/>
    <w:rsid w:val="00950E3F"/>
    <w:rsid w:val="00974866"/>
    <w:rsid w:val="009751EB"/>
    <w:rsid w:val="0097753C"/>
    <w:rsid w:val="00986466"/>
    <w:rsid w:val="00993B80"/>
    <w:rsid w:val="00995945"/>
    <w:rsid w:val="009C19A0"/>
    <w:rsid w:val="009D07C2"/>
    <w:rsid w:val="009E353B"/>
    <w:rsid w:val="00A027AC"/>
    <w:rsid w:val="00A0702D"/>
    <w:rsid w:val="00A11E37"/>
    <w:rsid w:val="00A124DA"/>
    <w:rsid w:val="00A13EA5"/>
    <w:rsid w:val="00A33F54"/>
    <w:rsid w:val="00A45B22"/>
    <w:rsid w:val="00A46231"/>
    <w:rsid w:val="00A52590"/>
    <w:rsid w:val="00A919E6"/>
    <w:rsid w:val="00AA06FF"/>
    <w:rsid w:val="00AA300A"/>
    <w:rsid w:val="00AA5D78"/>
    <w:rsid w:val="00AC5C20"/>
    <w:rsid w:val="00AE6B4C"/>
    <w:rsid w:val="00AF413A"/>
    <w:rsid w:val="00B14C72"/>
    <w:rsid w:val="00B629E8"/>
    <w:rsid w:val="00B642F6"/>
    <w:rsid w:val="00B66920"/>
    <w:rsid w:val="00B66EDB"/>
    <w:rsid w:val="00B71454"/>
    <w:rsid w:val="00B84B9D"/>
    <w:rsid w:val="00B87F87"/>
    <w:rsid w:val="00B95852"/>
    <w:rsid w:val="00BD662B"/>
    <w:rsid w:val="00BF64E6"/>
    <w:rsid w:val="00BF7CC7"/>
    <w:rsid w:val="00C04CAB"/>
    <w:rsid w:val="00C05E9B"/>
    <w:rsid w:val="00C379EB"/>
    <w:rsid w:val="00C61B3A"/>
    <w:rsid w:val="00C72D6F"/>
    <w:rsid w:val="00C74607"/>
    <w:rsid w:val="00C92F3C"/>
    <w:rsid w:val="00CA09A9"/>
    <w:rsid w:val="00CA0DEF"/>
    <w:rsid w:val="00CA3580"/>
    <w:rsid w:val="00CA612D"/>
    <w:rsid w:val="00CB2363"/>
    <w:rsid w:val="00CC1650"/>
    <w:rsid w:val="00CC4818"/>
    <w:rsid w:val="00CD62E8"/>
    <w:rsid w:val="00CE569F"/>
    <w:rsid w:val="00CF4A6B"/>
    <w:rsid w:val="00D27085"/>
    <w:rsid w:val="00D33C11"/>
    <w:rsid w:val="00D42847"/>
    <w:rsid w:val="00D55647"/>
    <w:rsid w:val="00D60FCB"/>
    <w:rsid w:val="00D6799D"/>
    <w:rsid w:val="00D7144B"/>
    <w:rsid w:val="00D72B04"/>
    <w:rsid w:val="00D87385"/>
    <w:rsid w:val="00D930DA"/>
    <w:rsid w:val="00DA1C47"/>
    <w:rsid w:val="00DA33DB"/>
    <w:rsid w:val="00DA7744"/>
    <w:rsid w:val="00DB3D2B"/>
    <w:rsid w:val="00DB5A74"/>
    <w:rsid w:val="00E27E65"/>
    <w:rsid w:val="00E3296A"/>
    <w:rsid w:val="00E44780"/>
    <w:rsid w:val="00E55770"/>
    <w:rsid w:val="00E575A0"/>
    <w:rsid w:val="00E702A6"/>
    <w:rsid w:val="00E73704"/>
    <w:rsid w:val="00E9787F"/>
    <w:rsid w:val="00EA3779"/>
    <w:rsid w:val="00EA5A05"/>
    <w:rsid w:val="00EB592C"/>
    <w:rsid w:val="00EC75D5"/>
    <w:rsid w:val="00F0127E"/>
    <w:rsid w:val="00F04BBD"/>
    <w:rsid w:val="00F1186F"/>
    <w:rsid w:val="00F16818"/>
    <w:rsid w:val="00F245DB"/>
    <w:rsid w:val="00F26CDE"/>
    <w:rsid w:val="00F27B28"/>
    <w:rsid w:val="00F52634"/>
    <w:rsid w:val="00F64108"/>
    <w:rsid w:val="00F670E1"/>
    <w:rsid w:val="00F74F63"/>
    <w:rsid w:val="00F93935"/>
    <w:rsid w:val="00F950E0"/>
    <w:rsid w:val="00FA2A02"/>
    <w:rsid w:val="00FA5001"/>
    <w:rsid w:val="00FB1593"/>
    <w:rsid w:val="00FB1EFA"/>
    <w:rsid w:val="00FC4F95"/>
    <w:rsid w:val="00FD0D43"/>
    <w:rsid w:val="00FF4A3A"/>
    <w:rsid w:val="011D0A5A"/>
    <w:rsid w:val="0A3C4644"/>
    <w:rsid w:val="0B966D4A"/>
    <w:rsid w:val="19113558"/>
    <w:rsid w:val="1A420D4F"/>
    <w:rsid w:val="23175C72"/>
    <w:rsid w:val="25A60E64"/>
    <w:rsid w:val="2B9E089B"/>
    <w:rsid w:val="2C535E92"/>
    <w:rsid w:val="3752328E"/>
    <w:rsid w:val="3F976C22"/>
    <w:rsid w:val="404C3233"/>
    <w:rsid w:val="42695968"/>
    <w:rsid w:val="42E23E42"/>
    <w:rsid w:val="448F165A"/>
    <w:rsid w:val="4DCC5A2F"/>
    <w:rsid w:val="51AB306B"/>
    <w:rsid w:val="57241437"/>
    <w:rsid w:val="63890B4B"/>
    <w:rsid w:val="64DA404A"/>
    <w:rsid w:val="65641472"/>
    <w:rsid w:val="696D19CA"/>
    <w:rsid w:val="6B600380"/>
    <w:rsid w:val="70AD55C3"/>
    <w:rsid w:val="70BE7D55"/>
    <w:rsid w:val="750A00FC"/>
    <w:rsid w:val="7BD93CB9"/>
    <w:rsid w:val="7D0C2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Change w:id="0" w:author="Ruimin Liu [2]" w:date="2023-09-19T09:54:00Z">
        <w:pPr>
          <w:widowControl w:val="0"/>
          <w:jc w:val="both"/>
        </w:pPr>
      </w:pPrChange>
    </w:pPr>
    <w:rPr>
      <w:rFonts w:asciiTheme="minorHAnsi" w:hAnsiTheme="minorHAnsi" w:eastAsiaTheme="minorEastAsia" w:cstheme="minorBidi"/>
      <w:kern w:val="2"/>
      <w:sz w:val="21"/>
      <w:szCs w:val="22"/>
      <w:lang w:val="en-US" w:eastAsia="zh-CN" w:bidi="ar-SA"/>
      <w:rPrChange w:id="1" w:author="Ruimin Liu [2]" w:date="2023-09-19T09:54:00Z">
        <w:rPr>
          <w:rFonts w:asciiTheme="minorHAnsi" w:hAnsiTheme="minorHAnsi" w:eastAsiaTheme="minorEastAsia" w:cstheme="minorBidi"/>
          <w:kern w:val="2"/>
          <w:sz w:val="21"/>
          <w:szCs w:val="22"/>
          <w:lang w:val="en-US" w:eastAsia="zh-CN" w:bidi="ar-SA"/>
        </w:rPr>
      </w:rPrChange>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styleId="13">
    <w:name w:val="List Paragraph"/>
    <w:basedOn w:val="1"/>
    <w:autoRedefine/>
    <w:qFormat/>
    <w:uiPriority w:val="34"/>
    <w:pPr>
      <w:ind w:firstLine="420"/>
    </w:pPr>
  </w:style>
  <w:style w:type="character" w:customStyle="1" w:styleId="14">
    <w:name w:val="批注框文本 字符"/>
    <w:basedOn w:val="9"/>
    <w:link w:val="3"/>
    <w:autoRedefine/>
    <w:semiHidden/>
    <w:qFormat/>
    <w:uiPriority w:val="99"/>
    <w:rPr>
      <w:sz w:val="18"/>
      <w:szCs w:val="18"/>
    </w:rPr>
  </w:style>
  <w:style w:type="character" w:customStyle="1" w:styleId="15">
    <w:name w:val="批注文字 字符"/>
    <w:basedOn w:val="9"/>
    <w:link w:val="2"/>
    <w:autoRedefine/>
    <w:semiHidden/>
    <w:qFormat/>
    <w:uiPriority w:val="99"/>
  </w:style>
  <w:style w:type="character" w:customStyle="1" w:styleId="16">
    <w:name w:val="批注主题 字符"/>
    <w:basedOn w:val="15"/>
    <w:link w:val="6"/>
    <w:autoRedefine/>
    <w:semiHidden/>
    <w:qFormat/>
    <w:uiPriority w:val="99"/>
    <w:rPr>
      <w:b/>
      <w:bCs/>
    </w:rPr>
  </w:style>
  <w:style w:type="paragraph" w:customStyle="1" w:styleId="17">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9">
    <w:name w:val="标准书脚_奇数页"/>
    <w:autoRedefine/>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20">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1">
    <w:name w:val="章标题"/>
    <w:next w:val="20"/>
    <w:autoRedefine/>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22">
    <w:name w:val="终结线"/>
    <w:basedOn w:val="1"/>
    <w:autoRedefine/>
    <w:qFormat/>
    <w:uiPriority w:val="0"/>
    <w:pPr>
      <w:framePr w:hSpace="181" w:vSpace="181" w:wrap="around" w:vAnchor="text" w:hAnchor="margin" w:xAlign="center" w:y="285"/>
    </w:pPr>
    <w:rPr>
      <w:rFonts w:ascii="Calibri" w:hAnsi="Calibri" w:eastAsia="宋体" w:cs="Times New Roman"/>
      <w:szCs w:val="24"/>
    </w:rPr>
  </w:style>
  <w:style w:type="paragraph" w:customStyle="1" w:styleId="23">
    <w:name w:val="Default"/>
    <w:autoRedefine/>
    <w:qFormat/>
    <w:uiPriority w:val="0"/>
    <w:pPr>
      <w:widowControl w:val="0"/>
      <w:autoSpaceDE w:val="0"/>
      <w:autoSpaceDN w:val="0"/>
      <w:adjustRightInd w:val="0"/>
    </w:pPr>
    <w:rPr>
      <w:rFonts w:ascii="MingLiU" w:hAnsi="Calibri" w:eastAsia="MingLiU" w:cs="MingLiU"/>
      <w:color w:val="000000"/>
      <w:sz w:val="24"/>
      <w:szCs w:val="24"/>
      <w:lang w:val="en-US" w:eastAsia="zh-CN" w:bidi="ar-SA"/>
    </w:rPr>
  </w:style>
  <w:style w:type="paragraph" w:customStyle="1" w:styleId="24">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2431</Words>
  <Characters>2951</Characters>
  <Lines>26</Lines>
  <Paragraphs>7</Paragraphs>
  <TotalTime>3</TotalTime>
  <ScaleCrop>false</ScaleCrop>
  <LinksUpToDate>false</LinksUpToDate>
  <CharactersWithSpaces>3058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2019-11-28T00:53:00Z</dcterms:created>
  <dc:creator>技术中心-汤晓琳</dc:creator>
  <cp:lastModifiedBy>厥涂坑对僦</cp:lastModifiedBy>
  <dcterms:modified xsi:type="dcterms:W3CDTF">2024-11-26T02:08:59Z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262F60C613BF483D935338A3B1C9875C_13</vt:lpwstr>
  </property>
</Properties>
</file>